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9D7907"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9D7907" w:rsidRDefault="00BC57D8" w:rsidP="00131490">
            <w:pPr>
              <w:pStyle w:val="ColumnHeading"/>
              <w:rPr>
                <w:rFonts w:asciiTheme="minorHAnsi" w:hAnsiTheme="minorHAnsi" w:cstheme="minorHAnsi"/>
                <w:b w:val="0"/>
                <w:bCs/>
                <w:sz w:val="22"/>
                <w:szCs w:val="22"/>
              </w:rPr>
            </w:pPr>
            <w:bookmarkStart w:id="0" w:name="dcusa_response1"/>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9D7907" w:rsidRDefault="00BC57D8" w:rsidP="00131490">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6140F314" w14:textId="77777777" w:rsidR="00BC57D8" w:rsidRPr="009D7907" w:rsidRDefault="00BC57D8" w:rsidP="00131490">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24A63BC9" w:rsidR="00BC57D8" w:rsidRPr="009D7907" w:rsidRDefault="004F132A" w:rsidP="002E69E1">
            <w:pPr>
              <w:pStyle w:val="Question"/>
              <w:numPr>
                <w:ilvl w:val="0"/>
                <w:numId w:val="18"/>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 xml:space="preserve">Do you understand the intent of </w:t>
            </w:r>
            <w:r w:rsidR="002E69E1" w:rsidRPr="009D7907">
              <w:rPr>
                <w:rFonts w:asciiTheme="minorHAnsi" w:hAnsiTheme="minorHAnsi" w:cstheme="minorHAnsi"/>
                <w:b w:val="0"/>
                <w:bCs/>
                <w:sz w:val="22"/>
                <w:szCs w:val="22"/>
                <w:lang w:val="en-GB"/>
              </w:rPr>
              <w:t>the CP</w:t>
            </w:r>
            <w:r w:rsidRPr="009D7907">
              <w:rPr>
                <w:rFonts w:asciiTheme="minorHAnsi" w:hAnsiTheme="minorHAnsi" w:cstheme="minorHAnsi"/>
                <w:b w:val="0"/>
                <w:bCs/>
                <w:sz w:val="22"/>
                <w:szCs w:val="22"/>
              </w:rPr>
              <w:t>?</w:t>
            </w:r>
          </w:p>
        </w:tc>
        <w:tc>
          <w:tcPr>
            <w:tcW w:w="3747" w:type="dxa"/>
            <w:shd w:val="clear" w:color="auto" w:fill="E2EFD9" w:themeFill="accent6" w:themeFillTint="33"/>
          </w:tcPr>
          <w:p w14:paraId="680F61BB" w14:textId="173C16D9" w:rsidR="00BC57D8" w:rsidRPr="009D7907"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F758BF" w:rsidRPr="009D7907" w14:paraId="25863522" w14:textId="77777777" w:rsidTr="00166D55">
        <w:tc>
          <w:tcPr>
            <w:tcW w:w="1730" w:type="dxa"/>
          </w:tcPr>
          <w:p w14:paraId="627A4B69" w14:textId="380B2324" w:rsidR="00F758BF" w:rsidRPr="009D7907" w:rsidRDefault="002E69E1" w:rsidP="00A759B6">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08ABD536" w14:textId="326088BC" w:rsidR="00F758BF" w:rsidRPr="009D7907" w:rsidRDefault="002E69E1" w:rsidP="00A759B6">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431F38D5" w14:textId="5B31EECE" w:rsidR="00F758BF" w:rsidRPr="009D7907" w:rsidRDefault="002E69E1" w:rsidP="00A759B6">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77777777" w:rsidR="00F758BF" w:rsidRPr="009D7907" w:rsidRDefault="00F758BF" w:rsidP="00A759B6">
            <w:pPr>
              <w:pStyle w:val="BodyText"/>
              <w:rPr>
                <w:rFonts w:asciiTheme="minorHAnsi" w:hAnsiTheme="minorHAnsi" w:cstheme="minorHAnsi"/>
                <w:bCs/>
                <w:sz w:val="22"/>
                <w:szCs w:val="22"/>
              </w:rPr>
            </w:pPr>
          </w:p>
        </w:tc>
      </w:tr>
      <w:tr w:rsidR="00AE4B95" w:rsidRPr="009D7907" w14:paraId="2D6C8BC4" w14:textId="77777777" w:rsidTr="00166D55">
        <w:tc>
          <w:tcPr>
            <w:tcW w:w="1730" w:type="dxa"/>
          </w:tcPr>
          <w:p w14:paraId="5877F05F" w14:textId="0C4A2929"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0C4D4681" w14:textId="0587238D"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0B967C1D" w14:textId="5C0B1128"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27240F52" w14:textId="77777777" w:rsidR="00AE4B95" w:rsidRPr="009D7907" w:rsidRDefault="00AE4B95" w:rsidP="00AE4B95">
            <w:pPr>
              <w:pStyle w:val="BodyText"/>
              <w:rPr>
                <w:rFonts w:asciiTheme="minorHAnsi" w:hAnsiTheme="minorHAnsi" w:cstheme="minorHAnsi"/>
                <w:bCs/>
                <w:sz w:val="22"/>
                <w:szCs w:val="22"/>
              </w:rPr>
            </w:pPr>
          </w:p>
        </w:tc>
      </w:tr>
      <w:tr w:rsidR="00AE4B95" w:rsidRPr="009D7907" w14:paraId="30058398" w14:textId="77777777" w:rsidTr="00166D55">
        <w:tc>
          <w:tcPr>
            <w:tcW w:w="1730" w:type="dxa"/>
          </w:tcPr>
          <w:p w14:paraId="04A87DE8" w14:textId="6BD69D23"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Scottish Hydro Electric Power Distribution plc and Southern Electric Power Distribution plc</w:t>
            </w:r>
          </w:p>
        </w:tc>
        <w:tc>
          <w:tcPr>
            <w:tcW w:w="1559" w:type="dxa"/>
          </w:tcPr>
          <w:p w14:paraId="4EF2D092" w14:textId="73EF47E4"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54386015" w14:textId="6D984F80"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11CAE6D0" w14:textId="77777777" w:rsidR="00AE4B95" w:rsidRPr="009D7907" w:rsidRDefault="00AE4B95" w:rsidP="00AE4B95">
            <w:pPr>
              <w:pStyle w:val="BodyText"/>
              <w:rPr>
                <w:rFonts w:asciiTheme="minorHAnsi" w:hAnsiTheme="minorHAnsi" w:cstheme="minorHAnsi"/>
                <w:bCs/>
                <w:sz w:val="22"/>
                <w:szCs w:val="22"/>
              </w:rPr>
            </w:pPr>
          </w:p>
        </w:tc>
      </w:tr>
      <w:tr w:rsidR="009D7907" w:rsidRPr="009D7907" w14:paraId="2F4D5941" w14:textId="77777777" w:rsidTr="00166D55">
        <w:tc>
          <w:tcPr>
            <w:tcW w:w="1730" w:type="dxa"/>
          </w:tcPr>
          <w:p w14:paraId="4C7563AC" w14:textId="56A6B44F" w:rsidR="009D7907" w:rsidRPr="009D7907" w:rsidRDefault="009D7907" w:rsidP="009D7907">
            <w:pPr>
              <w:rPr>
                <w:rFonts w:asciiTheme="minorHAnsi" w:hAnsiTheme="minorHAnsi" w:cstheme="minorHAnsi"/>
                <w:bCs/>
                <w:sz w:val="22"/>
                <w:szCs w:val="22"/>
              </w:rPr>
            </w:pPr>
            <w:r w:rsidRPr="009D7907">
              <w:rPr>
                <w:rFonts w:asciiTheme="minorHAnsi" w:hAnsiTheme="minorHAnsi" w:cstheme="minorHAnsi"/>
                <w:bCs/>
                <w:sz w:val="22"/>
                <w:szCs w:val="22"/>
              </w:rPr>
              <w:t>National Grid Electricity Distribution</w:t>
            </w:r>
          </w:p>
        </w:tc>
        <w:tc>
          <w:tcPr>
            <w:tcW w:w="1559" w:type="dxa"/>
          </w:tcPr>
          <w:p w14:paraId="4E7D9D9E" w14:textId="6AC002B9"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441491F6" w14:textId="379A608F"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643062DB"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17546FDB" w14:textId="77777777" w:rsidTr="00166D55">
        <w:tc>
          <w:tcPr>
            <w:tcW w:w="1730" w:type="dxa"/>
          </w:tcPr>
          <w:p w14:paraId="04620874" w14:textId="5263CBAD" w:rsidR="009D7907" w:rsidRPr="009D7907" w:rsidRDefault="009D7907" w:rsidP="009D7907">
            <w:pPr>
              <w:rPr>
                <w:rFonts w:asciiTheme="minorHAnsi" w:hAnsiTheme="minorHAnsi" w:cstheme="minorHAnsi"/>
                <w:bCs/>
                <w:sz w:val="22"/>
                <w:szCs w:val="22"/>
              </w:rPr>
            </w:pPr>
            <w:r w:rsidRPr="009D7907">
              <w:rPr>
                <w:rFonts w:asciiTheme="minorHAnsi" w:hAnsiTheme="minorHAnsi" w:cstheme="minorHAnsi"/>
                <w:bCs/>
                <w:sz w:val="22"/>
                <w:szCs w:val="22"/>
              </w:rPr>
              <w:t>UK Power Networks</w:t>
            </w:r>
          </w:p>
        </w:tc>
        <w:tc>
          <w:tcPr>
            <w:tcW w:w="1559" w:type="dxa"/>
          </w:tcPr>
          <w:p w14:paraId="3FEAF1DA" w14:textId="7B04D40F"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334D1C60" w14:textId="1B660C0E"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30466318"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220F3C8B" w14:textId="77777777" w:rsidTr="000B48B1">
        <w:tc>
          <w:tcPr>
            <w:tcW w:w="14076" w:type="dxa"/>
            <w:gridSpan w:val="4"/>
            <w:shd w:val="clear" w:color="auto" w:fill="E2EFD9" w:themeFill="accent6" w:themeFillTint="33"/>
          </w:tcPr>
          <w:p w14:paraId="0747C41C" w14:textId="77777777" w:rsidR="009D7907" w:rsidRPr="009D7907" w:rsidRDefault="009D7907" w:rsidP="009D7907">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t xml:space="preserve">Working Group Conclusions: </w:t>
            </w:r>
          </w:p>
          <w:p w14:paraId="52F52813" w14:textId="6FB5BF6D" w:rsidR="009D7907" w:rsidRPr="009D7907" w:rsidRDefault="009D7907" w:rsidP="009D7907">
            <w:pPr>
              <w:pStyle w:val="BodyText"/>
              <w:rPr>
                <w:rFonts w:asciiTheme="minorHAnsi" w:hAnsiTheme="minorHAnsi" w:cstheme="minorHAnsi"/>
                <w:bCs/>
                <w:sz w:val="22"/>
                <w:szCs w:val="22"/>
                <w:lang w:val="en-GB"/>
              </w:rPr>
            </w:pPr>
          </w:p>
        </w:tc>
      </w:tr>
      <w:bookmarkEnd w:id="0"/>
    </w:tbl>
    <w:p w14:paraId="50007642" w14:textId="6B78C2AC" w:rsidR="00A71C84" w:rsidRPr="009D7907" w:rsidRDefault="00A71C84"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7486BE15"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2225EE"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45160B1B"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79B4D728"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371C34BD" w14:textId="77777777" w:rsidR="002E69E1" w:rsidRDefault="002E69E1" w:rsidP="002E69E1">
            <w:pPr>
              <w:pStyle w:val="Question"/>
              <w:numPr>
                <w:ilvl w:val="0"/>
                <w:numId w:val="18"/>
              </w:numPr>
              <w:rPr>
                <w:rFonts w:asciiTheme="minorHAnsi" w:hAnsiTheme="minorHAnsi" w:cstheme="minorHAnsi"/>
                <w:b w:val="0"/>
                <w:bCs/>
                <w:sz w:val="22"/>
                <w:szCs w:val="22"/>
              </w:rPr>
            </w:pPr>
            <w:r w:rsidRPr="009D7907">
              <w:rPr>
                <w:rFonts w:asciiTheme="minorHAnsi" w:hAnsiTheme="minorHAnsi" w:cstheme="minorHAnsi"/>
                <w:b w:val="0"/>
                <w:bCs/>
                <w:sz w:val="22"/>
                <w:szCs w:val="22"/>
              </w:rPr>
              <w:t>Are you supportive of the principle of the CP?</w:t>
            </w:r>
          </w:p>
          <w:p w14:paraId="29AF1D42" w14:textId="69A341B2" w:rsidR="0070669D" w:rsidRPr="0070669D" w:rsidRDefault="0070669D" w:rsidP="0070669D"/>
        </w:tc>
        <w:tc>
          <w:tcPr>
            <w:tcW w:w="3747" w:type="dxa"/>
            <w:shd w:val="clear" w:color="auto" w:fill="E2EFD9" w:themeFill="accent6" w:themeFillTint="33"/>
          </w:tcPr>
          <w:p w14:paraId="3E022D0A"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2E69E1" w:rsidRPr="009D7907" w14:paraId="77DB479D" w14:textId="77777777" w:rsidTr="00A3048C">
        <w:tc>
          <w:tcPr>
            <w:tcW w:w="1730" w:type="dxa"/>
          </w:tcPr>
          <w:p w14:paraId="70372995"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0F432002"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1D2FAF57" w14:textId="77777777" w:rsidR="002E69E1" w:rsidRPr="009D7907" w:rsidRDefault="002E69E1" w:rsidP="00A3048C">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49666270" w14:textId="77777777" w:rsidR="002E69E1" w:rsidRPr="009D7907" w:rsidRDefault="002E69E1" w:rsidP="00A3048C">
            <w:pPr>
              <w:pStyle w:val="BodyText"/>
              <w:rPr>
                <w:rFonts w:asciiTheme="minorHAnsi" w:hAnsiTheme="minorHAnsi" w:cstheme="minorHAnsi"/>
                <w:bCs/>
                <w:sz w:val="22"/>
                <w:szCs w:val="22"/>
              </w:rPr>
            </w:pPr>
          </w:p>
        </w:tc>
      </w:tr>
      <w:tr w:rsidR="00AE4B95" w:rsidRPr="009D7907" w14:paraId="203F708C" w14:textId="77777777" w:rsidTr="00A3048C">
        <w:tc>
          <w:tcPr>
            <w:tcW w:w="1730" w:type="dxa"/>
          </w:tcPr>
          <w:p w14:paraId="32574593" w14:textId="6A86C84E"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5914F5D6" w14:textId="4FBF3E8A"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51CD0B76" w14:textId="2965BDE5" w:rsidR="00AE4B95" w:rsidRPr="009D7907" w:rsidRDefault="00AE4B95" w:rsidP="00AE4B95">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 We agree that issue of fairness needs to be addressed where a site has been reallocated to a different band within the 24 months to be averaged for the banding allocation exercise. However, we do not think this CP goes far enough, as it does not consider the impact on other customers who have changed capacity within the 24-month period but have not triggered the 50% clause or have not sought a reallocation (</w:t>
            </w:r>
            <w:proofErr w:type="gramStart"/>
            <w:r w:rsidRPr="009D7907">
              <w:rPr>
                <w:rFonts w:asciiTheme="minorHAnsi" w:hAnsiTheme="minorHAnsi" w:cstheme="minorHAnsi"/>
                <w:b w:val="0"/>
                <w:bCs/>
                <w:sz w:val="22"/>
                <w:szCs w:val="22"/>
                <w:lang w:val="en-GB"/>
              </w:rPr>
              <w:t>e.g.</w:t>
            </w:r>
            <w:proofErr w:type="gramEnd"/>
            <w:r w:rsidRPr="009D7907">
              <w:rPr>
                <w:rFonts w:asciiTheme="minorHAnsi" w:hAnsiTheme="minorHAnsi" w:cstheme="minorHAnsi"/>
                <w:b w:val="0"/>
                <w:bCs/>
                <w:sz w:val="22"/>
                <w:szCs w:val="22"/>
                <w:lang w:val="en-GB"/>
              </w:rPr>
              <w:t xml:space="preserve"> if banding was not transparent to a customer).</w:t>
            </w:r>
          </w:p>
          <w:p w14:paraId="3F32B9BB" w14:textId="77777777" w:rsidR="00AE4B95" w:rsidRPr="009D7907" w:rsidRDefault="00AE4B95" w:rsidP="00AE4B95">
            <w:pPr>
              <w:pStyle w:val="BodyText"/>
              <w:rPr>
                <w:rFonts w:asciiTheme="minorHAnsi" w:hAnsiTheme="minorHAnsi" w:cstheme="minorHAnsi"/>
                <w:bCs/>
                <w:sz w:val="22"/>
                <w:szCs w:val="22"/>
                <w:lang w:val="en-GB"/>
              </w:rPr>
            </w:pPr>
          </w:p>
          <w:p w14:paraId="423D9F3C" w14:textId="22B3BF89" w:rsidR="00AE4B95" w:rsidRPr="009D7907" w:rsidRDefault="00AE4B95" w:rsidP="00AE4B95">
            <w:pPr>
              <w:pStyle w:val="Question"/>
              <w:numPr>
                <w:ilvl w:val="0"/>
                <w:numId w:val="0"/>
              </w:numPr>
              <w:ind w:left="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t>
            </w:r>
            <w:r w:rsidRPr="009D7907">
              <w:rPr>
                <w:rFonts w:asciiTheme="minorHAnsi" w:hAnsiTheme="minorHAnsi" w:cstheme="minorHAnsi"/>
                <w:b w:val="0"/>
                <w:bCs/>
                <w:sz w:val="22"/>
                <w:szCs w:val="22"/>
                <w:lang w:val="en-GB"/>
              </w:rPr>
              <w:tab/>
              <w:t>These would be ineligible for reallocation under the proposed changes to section 6 of Schedule 32 and would therefore be banded on an average including some months at their old capacity, which could see them allocated into a different (perhaps ‘unfair’) band.</w:t>
            </w:r>
          </w:p>
          <w:p w14:paraId="64C7A895" w14:textId="77777777" w:rsidR="00AE4B95" w:rsidRPr="009D7907" w:rsidRDefault="00AE4B95" w:rsidP="00AE4B95">
            <w:pPr>
              <w:pStyle w:val="BodyText"/>
              <w:rPr>
                <w:rFonts w:asciiTheme="minorHAnsi" w:hAnsiTheme="minorHAnsi" w:cstheme="minorHAnsi"/>
                <w:bCs/>
                <w:sz w:val="22"/>
                <w:szCs w:val="22"/>
                <w:lang w:val="en-GB"/>
              </w:rPr>
            </w:pPr>
          </w:p>
          <w:p w14:paraId="511293D1" w14:textId="145A6441" w:rsidR="00AE4B95" w:rsidRPr="009D7907" w:rsidRDefault="00AE4B95" w:rsidP="00AE4B95">
            <w:pPr>
              <w:pStyle w:val="Question"/>
              <w:numPr>
                <w:ilvl w:val="0"/>
                <w:numId w:val="0"/>
              </w:numPr>
              <w:ind w:left="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lastRenderedPageBreak/>
              <w:t>-</w:t>
            </w:r>
            <w:r w:rsidRPr="009D7907">
              <w:rPr>
                <w:rFonts w:asciiTheme="minorHAnsi" w:hAnsiTheme="minorHAnsi" w:cstheme="minorHAnsi"/>
                <w:b w:val="0"/>
                <w:bCs/>
                <w:sz w:val="22"/>
                <w:szCs w:val="22"/>
                <w:lang w:val="en-GB"/>
              </w:rPr>
              <w:tab/>
              <w:t>A customer could be in a higher band in two successive banding periods because they have not reduced their capacity by more than 50% and because of the timing of that reduction. If the reduction was before the 24-month period they would be allocated to a band based on the lower capacity, but if it was within the 24-month period then some months at the old capacity will be included which could see them allocated to a different band.</w:t>
            </w:r>
          </w:p>
          <w:p w14:paraId="6AC4C6CF" w14:textId="77777777" w:rsidR="00AE4B95" w:rsidRPr="009D7907" w:rsidRDefault="00AE4B95" w:rsidP="00AE4B95">
            <w:pPr>
              <w:pStyle w:val="BodyText"/>
              <w:rPr>
                <w:rFonts w:asciiTheme="minorHAnsi" w:hAnsiTheme="minorHAnsi" w:cstheme="minorHAnsi"/>
                <w:bCs/>
                <w:sz w:val="22"/>
                <w:szCs w:val="22"/>
                <w:lang w:val="en-GB"/>
              </w:rPr>
            </w:pPr>
          </w:p>
          <w:p w14:paraId="50BD9CA8" w14:textId="77D22195" w:rsidR="00AE4B95" w:rsidRPr="009D7907" w:rsidRDefault="00AE4B95" w:rsidP="00AE4B95">
            <w:pPr>
              <w:pStyle w:val="Question"/>
              <w:numPr>
                <w:ilvl w:val="0"/>
                <w:numId w:val="0"/>
              </w:numPr>
              <w:ind w:left="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t>
            </w:r>
            <w:r w:rsidRPr="009D7907">
              <w:rPr>
                <w:rFonts w:asciiTheme="minorHAnsi" w:hAnsiTheme="minorHAnsi" w:cstheme="minorHAnsi"/>
                <w:b w:val="0"/>
                <w:bCs/>
                <w:sz w:val="22"/>
                <w:szCs w:val="22"/>
                <w:lang w:val="en-GB"/>
              </w:rPr>
              <w:tab/>
              <w:t>Most customers will be unaware of the months to be included in the 24-month average and therefore cannot ensure that they request any changes in capacity before this period begins. Further, and in line with Ofgem’s TCR decision, residual charges should not incentivise behaviour. Hence, it is arguably not preferable that a customer should seek to change in a certain way – at a certain time – to influence the outcome of what is in simple terms a cost-recovery mechanism</w:t>
            </w:r>
            <w:r w:rsidRPr="009D7907">
              <w:rPr>
                <w:rFonts w:asciiTheme="minorHAnsi" w:hAnsiTheme="minorHAnsi" w:cstheme="minorHAnsi"/>
                <w:b w:val="0"/>
                <w:bCs/>
                <w:sz w:val="22"/>
                <w:szCs w:val="22"/>
                <w:lang w:val="en-GB"/>
              </w:rPr>
              <w:t>.</w:t>
            </w:r>
          </w:p>
          <w:p w14:paraId="535F3ADA" w14:textId="77777777" w:rsidR="00AE4B95" w:rsidRPr="009D7907" w:rsidRDefault="00AE4B95" w:rsidP="00AE4B95">
            <w:pPr>
              <w:pStyle w:val="BodyText"/>
              <w:rPr>
                <w:rFonts w:asciiTheme="minorHAnsi" w:hAnsiTheme="minorHAnsi" w:cstheme="minorHAnsi"/>
                <w:bCs/>
                <w:sz w:val="22"/>
                <w:szCs w:val="22"/>
                <w:lang w:val="en-GB"/>
              </w:rPr>
            </w:pPr>
          </w:p>
          <w:p w14:paraId="152FA9CF" w14:textId="77777777" w:rsidR="00AE4B95" w:rsidRPr="009D7907" w:rsidRDefault="00AE4B95" w:rsidP="00AE4B95">
            <w:pPr>
              <w:pStyle w:val="Question"/>
              <w:numPr>
                <w:ilvl w:val="0"/>
                <w:numId w:val="0"/>
              </w:numPr>
              <w:ind w:left="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t>
            </w:r>
            <w:r w:rsidRPr="009D7907">
              <w:rPr>
                <w:rFonts w:asciiTheme="minorHAnsi" w:hAnsiTheme="minorHAnsi" w:cstheme="minorHAnsi"/>
                <w:b w:val="0"/>
                <w:bCs/>
                <w:sz w:val="22"/>
                <w:szCs w:val="22"/>
                <w:lang w:val="en-GB"/>
              </w:rPr>
              <w:tab/>
              <w:t xml:space="preserve">The 24-month period to be used for the next allocation process includes several months from before the TCR changes were implemented in Apr-22, meaning that it is likely that most customers were not aware of the impacts of the TCR change and the implications of higher MICs in time to request changes to their MICs which will impact the next allocation exercise. </w:t>
            </w:r>
          </w:p>
          <w:p w14:paraId="60921655" w14:textId="77777777" w:rsidR="00AE4B95" w:rsidRPr="009D7907" w:rsidRDefault="00AE4B95" w:rsidP="00AE4B95">
            <w:pPr>
              <w:pStyle w:val="Question"/>
              <w:numPr>
                <w:ilvl w:val="0"/>
                <w:numId w:val="0"/>
              </w:numPr>
              <w:ind w:left="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t>
            </w:r>
            <w:r w:rsidRPr="009D7907">
              <w:rPr>
                <w:rFonts w:asciiTheme="minorHAnsi" w:hAnsiTheme="minorHAnsi" w:cstheme="minorHAnsi"/>
                <w:b w:val="0"/>
                <w:bCs/>
                <w:sz w:val="22"/>
                <w:szCs w:val="22"/>
                <w:lang w:val="en-GB"/>
              </w:rPr>
              <w:tab/>
              <w:t xml:space="preserve">It is possible that two sites with the same starting MIC and reducing by the same amount (&lt;50%) could be allocated to different bands depending on the effective from date of their change in capacity. </w:t>
            </w:r>
          </w:p>
          <w:p w14:paraId="1427FFFE" w14:textId="77777777" w:rsidR="00AE4B95" w:rsidRPr="009D7907" w:rsidRDefault="00AE4B95" w:rsidP="00AE4B95">
            <w:pPr>
              <w:pStyle w:val="Question"/>
              <w:numPr>
                <w:ilvl w:val="0"/>
                <w:numId w:val="0"/>
              </w:numPr>
              <w:rPr>
                <w:rFonts w:asciiTheme="minorHAnsi" w:hAnsiTheme="minorHAnsi" w:cstheme="minorHAnsi"/>
                <w:b w:val="0"/>
                <w:bCs/>
                <w:sz w:val="22"/>
                <w:szCs w:val="22"/>
                <w:lang w:val="en-GB"/>
              </w:rPr>
            </w:pPr>
          </w:p>
        </w:tc>
        <w:tc>
          <w:tcPr>
            <w:tcW w:w="3747" w:type="dxa"/>
            <w:shd w:val="clear" w:color="auto" w:fill="E2EFD9" w:themeFill="accent6" w:themeFillTint="33"/>
          </w:tcPr>
          <w:p w14:paraId="5D94604E" w14:textId="77777777" w:rsidR="00AE4B95" w:rsidRPr="009D7907" w:rsidRDefault="00AE4B95" w:rsidP="00AE4B95">
            <w:pPr>
              <w:pStyle w:val="BodyText"/>
              <w:rPr>
                <w:rFonts w:asciiTheme="minorHAnsi" w:hAnsiTheme="minorHAnsi" w:cstheme="minorHAnsi"/>
                <w:bCs/>
                <w:sz w:val="22"/>
                <w:szCs w:val="22"/>
              </w:rPr>
            </w:pPr>
          </w:p>
        </w:tc>
      </w:tr>
      <w:tr w:rsidR="00AE4B95" w:rsidRPr="009D7907" w14:paraId="6B9483B6" w14:textId="77777777" w:rsidTr="00A3048C">
        <w:tc>
          <w:tcPr>
            <w:tcW w:w="1730" w:type="dxa"/>
          </w:tcPr>
          <w:p w14:paraId="3CCD6707" w14:textId="05D5CCB1"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lastRenderedPageBreak/>
              <w:t>Scottish Hydro Electric Power Distribution plc and Southern Electric Power Distribution plc</w:t>
            </w:r>
          </w:p>
        </w:tc>
        <w:tc>
          <w:tcPr>
            <w:tcW w:w="1559" w:type="dxa"/>
          </w:tcPr>
          <w:p w14:paraId="2EF64BEA" w14:textId="761A57B9"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39CB17B7" w14:textId="79182C19"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3F599ACD" w14:textId="77777777" w:rsidR="00AE4B95" w:rsidRPr="009D7907" w:rsidRDefault="00AE4B95" w:rsidP="00AE4B95">
            <w:pPr>
              <w:pStyle w:val="BodyText"/>
              <w:rPr>
                <w:rFonts w:asciiTheme="minorHAnsi" w:hAnsiTheme="minorHAnsi" w:cstheme="minorHAnsi"/>
                <w:bCs/>
                <w:sz w:val="22"/>
                <w:szCs w:val="22"/>
              </w:rPr>
            </w:pPr>
          </w:p>
        </w:tc>
      </w:tr>
      <w:tr w:rsidR="009D7907" w:rsidRPr="009D7907" w14:paraId="08CBBC3A" w14:textId="77777777" w:rsidTr="00A3048C">
        <w:tc>
          <w:tcPr>
            <w:tcW w:w="1730" w:type="dxa"/>
          </w:tcPr>
          <w:p w14:paraId="3B8DC3C5" w14:textId="17B15B8C"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National Grid Electricity Distribution</w:t>
            </w:r>
          </w:p>
        </w:tc>
        <w:tc>
          <w:tcPr>
            <w:tcW w:w="1559" w:type="dxa"/>
          </w:tcPr>
          <w:p w14:paraId="489C30B6" w14:textId="0A11D025"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2B058F49" w14:textId="184511BA"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0F569CD8"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2CC48332" w14:textId="77777777" w:rsidTr="00A3048C">
        <w:tc>
          <w:tcPr>
            <w:tcW w:w="1730" w:type="dxa"/>
          </w:tcPr>
          <w:p w14:paraId="0B00A190" w14:textId="2171356E"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UK Power Networks</w:t>
            </w:r>
          </w:p>
        </w:tc>
        <w:tc>
          <w:tcPr>
            <w:tcW w:w="1559" w:type="dxa"/>
          </w:tcPr>
          <w:p w14:paraId="3242D666" w14:textId="0F1B79CE"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4927CCAA" w14:textId="2AA9F5E6"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16E365C9"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053AC446" w14:textId="77777777" w:rsidTr="00A3048C">
        <w:tc>
          <w:tcPr>
            <w:tcW w:w="14076" w:type="dxa"/>
            <w:gridSpan w:val="4"/>
            <w:shd w:val="clear" w:color="auto" w:fill="E2EFD9" w:themeFill="accent6" w:themeFillTint="33"/>
          </w:tcPr>
          <w:p w14:paraId="09E9F154" w14:textId="77777777" w:rsidR="009D7907" w:rsidRPr="009D7907" w:rsidRDefault="009D7907" w:rsidP="009D7907">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t xml:space="preserve">Working Group Conclusions: </w:t>
            </w:r>
          </w:p>
          <w:p w14:paraId="6EDBE706" w14:textId="77777777" w:rsidR="009D7907" w:rsidRPr="009D7907" w:rsidRDefault="009D7907" w:rsidP="009D7907">
            <w:pPr>
              <w:pStyle w:val="BodyText"/>
              <w:rPr>
                <w:rFonts w:asciiTheme="minorHAnsi" w:hAnsiTheme="minorHAnsi" w:cstheme="minorHAnsi"/>
                <w:bCs/>
                <w:sz w:val="22"/>
                <w:szCs w:val="22"/>
                <w:lang w:val="en-GB"/>
              </w:rPr>
            </w:pPr>
          </w:p>
        </w:tc>
      </w:tr>
    </w:tbl>
    <w:p w14:paraId="12D1226B" w14:textId="69272E39" w:rsidR="002E69E1" w:rsidRPr="009D7907" w:rsidRDefault="002E69E1"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6C875EC4"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0DC5779"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5014ABC6"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440EBDA5"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0BB51936" w14:textId="5C30FCFA" w:rsidR="002E69E1" w:rsidRPr="009D7907" w:rsidRDefault="002E69E1" w:rsidP="002E69E1">
            <w:pPr>
              <w:pStyle w:val="ListParagraph"/>
              <w:numPr>
                <w:ilvl w:val="0"/>
                <w:numId w:val="18"/>
              </w:numPr>
              <w:rPr>
                <w:rFonts w:asciiTheme="minorHAnsi" w:hAnsiTheme="minorHAnsi" w:cstheme="minorHAnsi"/>
                <w:bCs/>
                <w:sz w:val="22"/>
                <w:szCs w:val="22"/>
              </w:rPr>
            </w:pPr>
            <w:r w:rsidRPr="009D7907">
              <w:rPr>
                <w:rFonts w:asciiTheme="minorHAnsi" w:hAnsiTheme="minorHAnsi" w:cstheme="minorHAnsi"/>
                <w:bCs/>
                <w:sz w:val="22"/>
                <w:szCs w:val="22"/>
              </w:rPr>
              <w:t>Are there any other DCUSA changes that you are aware of that this Change could impact? If so, please provide the change numbers and your rationale.</w:t>
            </w:r>
          </w:p>
          <w:p w14:paraId="048E404E" w14:textId="5716407E" w:rsidR="002E69E1" w:rsidRPr="009D7907" w:rsidRDefault="002E69E1" w:rsidP="002E69E1">
            <w:pPr>
              <w:pStyle w:val="Question"/>
              <w:numPr>
                <w:ilvl w:val="0"/>
                <w:numId w:val="0"/>
              </w:numPr>
              <w:rPr>
                <w:rFonts w:asciiTheme="minorHAnsi" w:hAnsiTheme="minorHAnsi" w:cstheme="minorHAnsi"/>
                <w:b w:val="0"/>
                <w:bCs/>
                <w:sz w:val="22"/>
                <w:szCs w:val="22"/>
                <w:lang w:val="en-GB"/>
              </w:rPr>
            </w:pPr>
          </w:p>
        </w:tc>
        <w:tc>
          <w:tcPr>
            <w:tcW w:w="3747" w:type="dxa"/>
            <w:shd w:val="clear" w:color="auto" w:fill="E2EFD9" w:themeFill="accent6" w:themeFillTint="33"/>
          </w:tcPr>
          <w:p w14:paraId="6045B040"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2E69E1" w:rsidRPr="009D7907" w14:paraId="5589F17A" w14:textId="77777777" w:rsidTr="00A3048C">
        <w:tc>
          <w:tcPr>
            <w:tcW w:w="1730" w:type="dxa"/>
          </w:tcPr>
          <w:p w14:paraId="204B650A"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lastRenderedPageBreak/>
              <w:t>SP Energy Networks</w:t>
            </w:r>
          </w:p>
        </w:tc>
        <w:tc>
          <w:tcPr>
            <w:tcW w:w="1559" w:type="dxa"/>
          </w:tcPr>
          <w:p w14:paraId="076FF067"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6C6642A2" w14:textId="58077328" w:rsidR="002E69E1" w:rsidRPr="009D7907" w:rsidRDefault="002E69E1" w:rsidP="00A3048C">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2A1728EE" w14:textId="77777777" w:rsidR="002E69E1" w:rsidRPr="009D7907" w:rsidRDefault="002E69E1" w:rsidP="00A3048C">
            <w:pPr>
              <w:pStyle w:val="BodyText"/>
              <w:rPr>
                <w:rFonts w:asciiTheme="minorHAnsi" w:hAnsiTheme="minorHAnsi" w:cstheme="minorHAnsi"/>
                <w:bCs/>
                <w:sz w:val="22"/>
                <w:szCs w:val="22"/>
              </w:rPr>
            </w:pPr>
          </w:p>
        </w:tc>
      </w:tr>
      <w:tr w:rsidR="00AE4B95" w:rsidRPr="009D7907" w14:paraId="198653DD" w14:textId="77777777" w:rsidTr="00A3048C">
        <w:tc>
          <w:tcPr>
            <w:tcW w:w="1730" w:type="dxa"/>
          </w:tcPr>
          <w:p w14:paraId="2801A5F2" w14:textId="2243B85B"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6247F979" w14:textId="1B043CD9"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7E3A7883" w14:textId="3D946E35" w:rsidR="00AE4B95" w:rsidRPr="009D7907" w:rsidRDefault="00AE4B95" w:rsidP="00AE4B95">
            <w:pPr>
              <w:rPr>
                <w:rFonts w:asciiTheme="minorHAnsi" w:hAnsiTheme="minorHAnsi" w:cstheme="minorHAnsi"/>
                <w:bCs/>
                <w:sz w:val="22"/>
                <w:szCs w:val="22"/>
              </w:rPr>
            </w:pPr>
            <w:r w:rsidRPr="009D7907">
              <w:rPr>
                <w:rFonts w:asciiTheme="minorHAnsi" w:hAnsiTheme="minorHAnsi" w:cstheme="minorHAnsi"/>
                <w:bCs/>
                <w:sz w:val="22"/>
                <w:szCs w:val="22"/>
              </w:rPr>
              <w:t>Yes. DCP407 ‘Access SCR: Speculative Development’ also proposes to amend section 6 of Schedule 32 to ensure a fair allocation of a Final Demand Site with a phased MIC (comparable to one without a phased MIC). DCP407 is likely to impact paragraph 6.5, which is also proposed to be amended by DCP389 as identified by the Working Group.. In our DCP407 consultation response, we proposed changes to the wording that would be implemented by DCP389, therefore all of these CPs may be ‘interactive’ and therefore additional care needs to be taken.</w:t>
            </w:r>
          </w:p>
        </w:tc>
        <w:tc>
          <w:tcPr>
            <w:tcW w:w="3747" w:type="dxa"/>
            <w:shd w:val="clear" w:color="auto" w:fill="E2EFD9" w:themeFill="accent6" w:themeFillTint="33"/>
          </w:tcPr>
          <w:p w14:paraId="242E2676" w14:textId="77777777" w:rsidR="00AE4B95" w:rsidRPr="009D7907" w:rsidRDefault="00AE4B95" w:rsidP="00AE4B95">
            <w:pPr>
              <w:pStyle w:val="BodyText"/>
              <w:rPr>
                <w:rFonts w:asciiTheme="minorHAnsi" w:hAnsiTheme="minorHAnsi" w:cstheme="minorHAnsi"/>
                <w:bCs/>
                <w:sz w:val="22"/>
                <w:szCs w:val="22"/>
              </w:rPr>
            </w:pPr>
          </w:p>
        </w:tc>
      </w:tr>
      <w:tr w:rsidR="00AE4B95" w:rsidRPr="009D7907" w14:paraId="4B3F3820" w14:textId="77777777" w:rsidTr="00A3048C">
        <w:tc>
          <w:tcPr>
            <w:tcW w:w="1730" w:type="dxa"/>
          </w:tcPr>
          <w:p w14:paraId="514BF457" w14:textId="2B0CA830"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Scottish Hydro Electric Power Distribution plc and Southern Electric Power Distribution plc</w:t>
            </w:r>
          </w:p>
        </w:tc>
        <w:tc>
          <w:tcPr>
            <w:tcW w:w="1559" w:type="dxa"/>
          </w:tcPr>
          <w:p w14:paraId="69E98A24" w14:textId="1F9D03FE"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3F656D6E" w14:textId="27280008" w:rsidR="00AE4B95" w:rsidRPr="009D7907" w:rsidRDefault="00AE4B95" w:rsidP="00AE4B95">
            <w:pPr>
              <w:rPr>
                <w:rFonts w:asciiTheme="minorHAnsi" w:hAnsiTheme="minorHAnsi" w:cstheme="minorHAnsi"/>
                <w:bCs/>
                <w:sz w:val="22"/>
                <w:szCs w:val="22"/>
              </w:rPr>
            </w:pPr>
            <w:r w:rsidRPr="009D7907">
              <w:rPr>
                <w:rFonts w:asciiTheme="minorHAnsi" w:hAnsiTheme="minorHAnsi" w:cstheme="minorHAnsi"/>
                <w:bCs/>
                <w:sz w:val="22"/>
                <w:szCs w:val="22"/>
              </w:rPr>
              <w:t xml:space="preserve">DCP 389 would be impacted by this change, as 389 looks to introduce an annual review. If this change was to be implemented then the specific scenarios within the proposal could occur during the annual review and would need to be taken into account. We do not believe the introduction of this change proposal would make DCP 389 any less viable to implement and would make the annual review process fairer. </w:t>
            </w:r>
          </w:p>
        </w:tc>
        <w:tc>
          <w:tcPr>
            <w:tcW w:w="3747" w:type="dxa"/>
            <w:shd w:val="clear" w:color="auto" w:fill="E2EFD9" w:themeFill="accent6" w:themeFillTint="33"/>
          </w:tcPr>
          <w:p w14:paraId="3123F372" w14:textId="77777777" w:rsidR="00AE4B95" w:rsidRPr="009D7907" w:rsidRDefault="00AE4B95" w:rsidP="00AE4B95">
            <w:pPr>
              <w:pStyle w:val="BodyText"/>
              <w:rPr>
                <w:rFonts w:asciiTheme="minorHAnsi" w:hAnsiTheme="minorHAnsi" w:cstheme="minorHAnsi"/>
                <w:bCs/>
                <w:sz w:val="22"/>
                <w:szCs w:val="22"/>
              </w:rPr>
            </w:pPr>
          </w:p>
        </w:tc>
      </w:tr>
      <w:tr w:rsidR="009D7907" w:rsidRPr="009D7907" w14:paraId="65E373D7" w14:textId="77777777" w:rsidTr="00A3048C">
        <w:tc>
          <w:tcPr>
            <w:tcW w:w="1730" w:type="dxa"/>
          </w:tcPr>
          <w:p w14:paraId="53590A0D" w14:textId="3030CB29"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National Grid Electricity Distribution</w:t>
            </w:r>
          </w:p>
        </w:tc>
        <w:tc>
          <w:tcPr>
            <w:tcW w:w="1559" w:type="dxa"/>
          </w:tcPr>
          <w:p w14:paraId="19E37A2E" w14:textId="5AEEB6C4"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46D2E7F0" w14:textId="3AB5AEE7"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2418C8FE"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3BABEFA7" w14:textId="77777777" w:rsidTr="00A3048C">
        <w:tc>
          <w:tcPr>
            <w:tcW w:w="1730" w:type="dxa"/>
          </w:tcPr>
          <w:p w14:paraId="61DFE874" w14:textId="5D8A7CFC"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UK Power Networks</w:t>
            </w:r>
          </w:p>
        </w:tc>
        <w:tc>
          <w:tcPr>
            <w:tcW w:w="1559" w:type="dxa"/>
          </w:tcPr>
          <w:p w14:paraId="65E592D0" w14:textId="24E9A7E4"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333E2C40" w14:textId="2C5AAE54"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As noted by the working group, DCP389 which has been with the Authority for a decision since 13 July, does have a potential impact upon this CP, and so consideration does need to be given to what (if anything) can be done, in the absence of an earlier Ofgem decision on DCP389, to avoid the need for a further CP were this CP and DCP389 to both be approved.</w:t>
            </w:r>
          </w:p>
        </w:tc>
        <w:tc>
          <w:tcPr>
            <w:tcW w:w="3747" w:type="dxa"/>
            <w:shd w:val="clear" w:color="auto" w:fill="E2EFD9" w:themeFill="accent6" w:themeFillTint="33"/>
          </w:tcPr>
          <w:p w14:paraId="7334624C"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3E794E1F" w14:textId="77777777" w:rsidTr="00A3048C">
        <w:tc>
          <w:tcPr>
            <w:tcW w:w="14076" w:type="dxa"/>
            <w:gridSpan w:val="4"/>
            <w:shd w:val="clear" w:color="auto" w:fill="E2EFD9" w:themeFill="accent6" w:themeFillTint="33"/>
          </w:tcPr>
          <w:p w14:paraId="4E159ED4" w14:textId="77777777" w:rsidR="009D7907" w:rsidRPr="009D7907" w:rsidRDefault="009D7907" w:rsidP="009D7907">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lastRenderedPageBreak/>
              <w:t xml:space="preserve">Working Group Conclusions: </w:t>
            </w:r>
          </w:p>
          <w:p w14:paraId="2E7AF798" w14:textId="77777777" w:rsidR="009D7907" w:rsidRPr="009D7907" w:rsidRDefault="009D7907" w:rsidP="009D7907">
            <w:pPr>
              <w:pStyle w:val="BodyText"/>
              <w:rPr>
                <w:rFonts w:asciiTheme="minorHAnsi" w:hAnsiTheme="minorHAnsi" w:cstheme="minorHAnsi"/>
                <w:bCs/>
                <w:sz w:val="22"/>
                <w:szCs w:val="22"/>
                <w:lang w:val="en-GB"/>
              </w:rPr>
            </w:pPr>
          </w:p>
        </w:tc>
      </w:tr>
    </w:tbl>
    <w:p w14:paraId="1F25312D" w14:textId="51B4C6DB" w:rsidR="002E69E1" w:rsidRPr="009D7907" w:rsidRDefault="002E69E1"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67D1EFDA"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AF03BAF"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0D2E6904"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487F7A05"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054862F0" w14:textId="6E58455C" w:rsidR="002E69E1" w:rsidRPr="009D7907" w:rsidRDefault="002E69E1" w:rsidP="002E69E1">
            <w:pPr>
              <w:pStyle w:val="ListParagraph"/>
              <w:numPr>
                <w:ilvl w:val="0"/>
                <w:numId w:val="18"/>
              </w:numPr>
              <w:rPr>
                <w:rFonts w:asciiTheme="minorHAnsi" w:hAnsiTheme="minorHAnsi" w:cstheme="minorHAnsi"/>
                <w:bCs/>
                <w:sz w:val="22"/>
                <w:szCs w:val="22"/>
              </w:rPr>
            </w:pPr>
            <w:r w:rsidRPr="009D7907">
              <w:rPr>
                <w:rFonts w:asciiTheme="minorHAnsi" w:hAnsiTheme="minorHAnsi" w:cstheme="minorHAnsi"/>
                <w:bCs/>
                <w:sz w:val="22"/>
                <w:szCs w:val="22"/>
              </w:rPr>
              <w:t>Do you consider that the proposal better facilitates the DCUSA Charging Objectives? Please give supporting reasons.</w:t>
            </w:r>
          </w:p>
        </w:tc>
        <w:tc>
          <w:tcPr>
            <w:tcW w:w="3747" w:type="dxa"/>
            <w:shd w:val="clear" w:color="auto" w:fill="E2EFD9" w:themeFill="accent6" w:themeFillTint="33"/>
          </w:tcPr>
          <w:p w14:paraId="45083B26"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2E69E1" w:rsidRPr="009D7907" w14:paraId="24B8F320" w14:textId="77777777" w:rsidTr="00A3048C">
        <w:tc>
          <w:tcPr>
            <w:tcW w:w="1730" w:type="dxa"/>
          </w:tcPr>
          <w:p w14:paraId="7BEB703C"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123D992C"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6029EBB3" w14:textId="296A90CD" w:rsidR="002E69E1" w:rsidRPr="009D7907" w:rsidRDefault="002E69E1" w:rsidP="002E69E1">
            <w:pPr>
              <w:rPr>
                <w:rFonts w:asciiTheme="minorHAnsi" w:hAnsiTheme="minorHAnsi" w:cstheme="minorHAnsi"/>
                <w:bCs/>
                <w:sz w:val="22"/>
                <w:szCs w:val="22"/>
              </w:rPr>
            </w:pPr>
            <w:r w:rsidRPr="009D7907">
              <w:rPr>
                <w:rFonts w:asciiTheme="minorHAnsi" w:hAnsiTheme="minorHAnsi" w:cstheme="minorHAnsi"/>
                <w:bCs/>
                <w:sz w:val="22"/>
                <w:szCs w:val="22"/>
              </w:rPr>
              <w:t>Yes, we agree with the proposer that the change enacted by DCP 410 would facilitate better competition by removing methodology barriers which could unfairly reallocate sites to the wrong band.</w:t>
            </w:r>
          </w:p>
        </w:tc>
        <w:tc>
          <w:tcPr>
            <w:tcW w:w="3747" w:type="dxa"/>
            <w:shd w:val="clear" w:color="auto" w:fill="E2EFD9" w:themeFill="accent6" w:themeFillTint="33"/>
          </w:tcPr>
          <w:p w14:paraId="43440D24" w14:textId="77777777" w:rsidR="002E69E1" w:rsidRPr="009D7907" w:rsidRDefault="002E69E1" w:rsidP="00A3048C">
            <w:pPr>
              <w:pStyle w:val="BodyText"/>
              <w:rPr>
                <w:rFonts w:asciiTheme="minorHAnsi" w:hAnsiTheme="minorHAnsi" w:cstheme="minorHAnsi"/>
                <w:bCs/>
                <w:sz w:val="22"/>
                <w:szCs w:val="22"/>
              </w:rPr>
            </w:pPr>
          </w:p>
        </w:tc>
      </w:tr>
      <w:tr w:rsidR="00AE4B95" w:rsidRPr="009D7907" w14:paraId="45D3538D" w14:textId="77777777" w:rsidTr="00A3048C">
        <w:tc>
          <w:tcPr>
            <w:tcW w:w="1730" w:type="dxa"/>
          </w:tcPr>
          <w:p w14:paraId="6653CC51" w14:textId="60D190F7"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37D23A62" w14:textId="62B34120"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62A4CA85" w14:textId="3E8326A7"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Charging Objective 2 will be positively impacted for single sites that have changed capacity by more than 50% within the 24-month period to be used for the banding allocation exercise.</w:t>
            </w:r>
          </w:p>
          <w:p w14:paraId="486EBA1F" w14:textId="77777777" w:rsidR="00AE4B95" w:rsidRPr="009D7907" w:rsidRDefault="00AE4B95" w:rsidP="00AE4B95">
            <w:pPr>
              <w:pStyle w:val="BodyText"/>
              <w:rPr>
                <w:rFonts w:asciiTheme="minorHAnsi" w:hAnsiTheme="minorHAnsi" w:cstheme="minorHAnsi"/>
                <w:bCs/>
                <w:sz w:val="22"/>
                <w:szCs w:val="22"/>
                <w:lang w:val="en-GB"/>
              </w:rPr>
            </w:pPr>
          </w:p>
          <w:p w14:paraId="17169E37" w14:textId="66FA3FCF"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The impact remains negative for single sites that have changed capacity by less than 50% within the 24-month period, as described in our answer to Q2 above. Therefore, it is our view that this CP could have a greater positive impact on Charging Objective 2.</w:t>
            </w:r>
          </w:p>
        </w:tc>
        <w:tc>
          <w:tcPr>
            <w:tcW w:w="3747" w:type="dxa"/>
            <w:shd w:val="clear" w:color="auto" w:fill="E2EFD9" w:themeFill="accent6" w:themeFillTint="33"/>
          </w:tcPr>
          <w:p w14:paraId="59C06AF0" w14:textId="77777777" w:rsidR="00AE4B95" w:rsidRPr="009D7907" w:rsidRDefault="00AE4B95" w:rsidP="00AE4B95">
            <w:pPr>
              <w:pStyle w:val="BodyText"/>
              <w:rPr>
                <w:rFonts w:asciiTheme="minorHAnsi" w:hAnsiTheme="minorHAnsi" w:cstheme="minorHAnsi"/>
                <w:bCs/>
                <w:sz w:val="22"/>
                <w:szCs w:val="22"/>
              </w:rPr>
            </w:pPr>
          </w:p>
        </w:tc>
      </w:tr>
      <w:tr w:rsidR="00AE4B95" w:rsidRPr="009D7907" w14:paraId="6386CAD4" w14:textId="77777777" w:rsidTr="00A3048C">
        <w:tc>
          <w:tcPr>
            <w:tcW w:w="1730" w:type="dxa"/>
          </w:tcPr>
          <w:p w14:paraId="5739244F" w14:textId="6BB3A0D2"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Scottish Hydro Electric Power Distribution plc and Southern Electric Power Distribution plc</w:t>
            </w:r>
          </w:p>
        </w:tc>
        <w:tc>
          <w:tcPr>
            <w:tcW w:w="1559" w:type="dxa"/>
          </w:tcPr>
          <w:p w14:paraId="4632CD9B" w14:textId="652D7AAB"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26068428" w14:textId="02799C87" w:rsidR="00AE4B95" w:rsidRPr="009D7907" w:rsidRDefault="00AE4B95" w:rsidP="00AE4B95">
            <w:pPr>
              <w:rPr>
                <w:rFonts w:asciiTheme="minorHAnsi" w:hAnsiTheme="minorHAnsi" w:cstheme="minorHAnsi"/>
                <w:bCs/>
                <w:sz w:val="22"/>
                <w:szCs w:val="22"/>
              </w:rPr>
            </w:pPr>
            <w:r w:rsidRPr="009D7907">
              <w:rPr>
                <w:rFonts w:asciiTheme="minorHAnsi" w:hAnsiTheme="minorHAnsi" w:cstheme="minorHAnsi"/>
                <w:bCs/>
                <w:sz w:val="22"/>
                <w:szCs w:val="22"/>
              </w:rPr>
              <w:t>Yes the proposal prevents customers being reallocated to ‘incorrect’ bands based on outdated data. In line with Objective 2 this proposal sets out to ‘reduce harmful distortions which impact competition in the market’.</w:t>
            </w:r>
          </w:p>
        </w:tc>
        <w:tc>
          <w:tcPr>
            <w:tcW w:w="3747" w:type="dxa"/>
            <w:shd w:val="clear" w:color="auto" w:fill="E2EFD9" w:themeFill="accent6" w:themeFillTint="33"/>
          </w:tcPr>
          <w:p w14:paraId="6308CBFE" w14:textId="77777777" w:rsidR="00AE4B95" w:rsidRPr="009D7907" w:rsidRDefault="00AE4B95" w:rsidP="00AE4B95">
            <w:pPr>
              <w:pStyle w:val="BodyText"/>
              <w:rPr>
                <w:rFonts w:asciiTheme="minorHAnsi" w:hAnsiTheme="minorHAnsi" w:cstheme="minorHAnsi"/>
                <w:bCs/>
                <w:sz w:val="22"/>
                <w:szCs w:val="22"/>
              </w:rPr>
            </w:pPr>
          </w:p>
        </w:tc>
      </w:tr>
      <w:tr w:rsidR="009D7907" w:rsidRPr="009D7907" w14:paraId="77B52C7D" w14:textId="77777777" w:rsidTr="00A3048C">
        <w:tc>
          <w:tcPr>
            <w:tcW w:w="1730" w:type="dxa"/>
          </w:tcPr>
          <w:p w14:paraId="45201503" w14:textId="44595DC1"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lastRenderedPageBreak/>
              <w:t>National Grid Electricity Distribution</w:t>
            </w:r>
          </w:p>
        </w:tc>
        <w:tc>
          <w:tcPr>
            <w:tcW w:w="1559" w:type="dxa"/>
          </w:tcPr>
          <w:p w14:paraId="7AD2E070" w14:textId="336E813E"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06F92C6A" w14:textId="0A64DB1C" w:rsidR="009D7907" w:rsidRPr="009D7907" w:rsidRDefault="009D7907" w:rsidP="009D7907">
            <w:pPr>
              <w:rPr>
                <w:rFonts w:asciiTheme="minorHAnsi" w:hAnsiTheme="minorHAnsi" w:cstheme="minorHAnsi"/>
                <w:bCs/>
                <w:sz w:val="22"/>
                <w:szCs w:val="22"/>
              </w:rPr>
            </w:pPr>
            <w:r w:rsidRPr="009D7907">
              <w:rPr>
                <w:rFonts w:asciiTheme="minorHAnsi" w:hAnsiTheme="minorHAnsi" w:cstheme="minorHAnsi"/>
                <w:bCs/>
                <w:sz w:val="22"/>
                <w:szCs w:val="22"/>
              </w:rPr>
              <w:t>We agree that this change would have a positive effect on Charging Objective 2.</w:t>
            </w:r>
          </w:p>
        </w:tc>
        <w:tc>
          <w:tcPr>
            <w:tcW w:w="3747" w:type="dxa"/>
            <w:shd w:val="clear" w:color="auto" w:fill="E2EFD9" w:themeFill="accent6" w:themeFillTint="33"/>
          </w:tcPr>
          <w:p w14:paraId="20299E93"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759BDDE5" w14:textId="77777777" w:rsidTr="00A3048C">
        <w:tc>
          <w:tcPr>
            <w:tcW w:w="1730" w:type="dxa"/>
          </w:tcPr>
          <w:p w14:paraId="7C78B55C" w14:textId="3E5F3F87"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UK Power Networks</w:t>
            </w:r>
          </w:p>
        </w:tc>
        <w:tc>
          <w:tcPr>
            <w:tcW w:w="1559" w:type="dxa"/>
          </w:tcPr>
          <w:p w14:paraId="3DD297AA" w14:textId="6714FFD3"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5311175E" w14:textId="40C44468" w:rsidR="009D7907" w:rsidRPr="009D7907" w:rsidRDefault="009D7907" w:rsidP="009D7907">
            <w:pPr>
              <w:rPr>
                <w:rFonts w:asciiTheme="minorHAnsi" w:hAnsiTheme="minorHAnsi" w:cstheme="minorHAnsi"/>
                <w:bCs/>
                <w:sz w:val="22"/>
                <w:szCs w:val="22"/>
              </w:rPr>
            </w:pPr>
            <w:r w:rsidRPr="009D7907">
              <w:rPr>
                <w:rFonts w:asciiTheme="minorHAnsi" w:hAnsiTheme="minorHAnsi" w:cstheme="minorHAnsi"/>
                <w:bCs/>
                <w:sz w:val="22"/>
                <w:szCs w:val="22"/>
              </w:rPr>
              <w:t>We are in agreement with the working group, that this change will better facilitate DCUSA Charging Objective 2, as it will allow sites to be allocated to an appropriate residual charging band based on a fairer assessment of the average capacity/consumption and thus would promote enhanced competition among similar end users.</w:t>
            </w:r>
          </w:p>
        </w:tc>
        <w:tc>
          <w:tcPr>
            <w:tcW w:w="3747" w:type="dxa"/>
            <w:shd w:val="clear" w:color="auto" w:fill="E2EFD9" w:themeFill="accent6" w:themeFillTint="33"/>
          </w:tcPr>
          <w:p w14:paraId="51BA5D58"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3BAB2F78" w14:textId="77777777" w:rsidTr="00A3048C">
        <w:tc>
          <w:tcPr>
            <w:tcW w:w="14076" w:type="dxa"/>
            <w:gridSpan w:val="4"/>
            <w:shd w:val="clear" w:color="auto" w:fill="E2EFD9" w:themeFill="accent6" w:themeFillTint="33"/>
          </w:tcPr>
          <w:p w14:paraId="779C8DBA" w14:textId="77777777" w:rsidR="009D7907" w:rsidRPr="009D7907" w:rsidRDefault="009D7907" w:rsidP="009D7907">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t xml:space="preserve">Working Group Conclusions: </w:t>
            </w:r>
          </w:p>
          <w:p w14:paraId="4BF61C5E" w14:textId="77777777" w:rsidR="009D7907" w:rsidRPr="009D7907" w:rsidRDefault="009D7907" w:rsidP="009D7907">
            <w:pPr>
              <w:pStyle w:val="BodyText"/>
              <w:rPr>
                <w:rFonts w:asciiTheme="minorHAnsi" w:hAnsiTheme="minorHAnsi" w:cstheme="minorHAnsi"/>
                <w:bCs/>
                <w:sz w:val="22"/>
                <w:szCs w:val="22"/>
                <w:lang w:val="en-GB"/>
              </w:rPr>
            </w:pPr>
          </w:p>
        </w:tc>
      </w:tr>
    </w:tbl>
    <w:p w14:paraId="1F3DA504" w14:textId="58985279" w:rsidR="002E69E1" w:rsidRPr="009D7907" w:rsidRDefault="002E69E1"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2FEAB8FD"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3211A24"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67F4AB85"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3065025B"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2E182C42" w14:textId="453F16F0" w:rsidR="002E69E1" w:rsidRPr="009D7907" w:rsidRDefault="002E69E1" w:rsidP="002E69E1">
            <w:pPr>
              <w:pStyle w:val="ListParagraph"/>
              <w:numPr>
                <w:ilvl w:val="0"/>
                <w:numId w:val="18"/>
              </w:numPr>
              <w:rPr>
                <w:rFonts w:asciiTheme="minorHAnsi" w:hAnsiTheme="minorHAnsi" w:cstheme="minorHAnsi"/>
                <w:bCs/>
                <w:sz w:val="22"/>
                <w:szCs w:val="22"/>
              </w:rPr>
            </w:pPr>
            <w:r w:rsidRPr="009D7907">
              <w:rPr>
                <w:rFonts w:asciiTheme="minorHAnsi" w:hAnsiTheme="minorHAnsi" w:cstheme="minorHAnsi"/>
                <w:bCs/>
                <w:sz w:val="22"/>
                <w:szCs w:val="22"/>
              </w:rPr>
              <w:t>Are you aware of any wider industry developments that may impact upon or be impacted by this DCP?</w:t>
            </w:r>
          </w:p>
        </w:tc>
        <w:tc>
          <w:tcPr>
            <w:tcW w:w="3747" w:type="dxa"/>
            <w:shd w:val="clear" w:color="auto" w:fill="E2EFD9" w:themeFill="accent6" w:themeFillTint="33"/>
          </w:tcPr>
          <w:p w14:paraId="7066B997"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2E69E1" w:rsidRPr="009D7907" w14:paraId="47CC9490" w14:textId="77777777" w:rsidTr="00A3048C">
        <w:tc>
          <w:tcPr>
            <w:tcW w:w="1730" w:type="dxa"/>
          </w:tcPr>
          <w:p w14:paraId="5AC78160"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32BB13F2"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4DF8FD1C" w14:textId="62E5006B" w:rsidR="002E69E1" w:rsidRPr="009D7907" w:rsidRDefault="002E69E1" w:rsidP="00A3048C">
            <w:pPr>
              <w:rPr>
                <w:rFonts w:asciiTheme="minorHAnsi" w:hAnsiTheme="minorHAnsi" w:cstheme="minorHAnsi"/>
                <w:bCs/>
                <w:sz w:val="22"/>
                <w:szCs w:val="22"/>
                <w:lang w:val="en-GB"/>
              </w:rPr>
            </w:pPr>
            <w:r w:rsidRPr="009D7907">
              <w:rPr>
                <w:rFonts w:asciiTheme="minorHAnsi" w:hAnsiTheme="minorHAnsi" w:cstheme="minorHAnsi"/>
                <w:bCs/>
                <w:sz w:val="22"/>
                <w:szCs w:val="22"/>
                <w:lang w:val="en-GB"/>
              </w:rPr>
              <w:t>No</w:t>
            </w:r>
          </w:p>
        </w:tc>
        <w:tc>
          <w:tcPr>
            <w:tcW w:w="3747" w:type="dxa"/>
            <w:shd w:val="clear" w:color="auto" w:fill="E2EFD9" w:themeFill="accent6" w:themeFillTint="33"/>
          </w:tcPr>
          <w:p w14:paraId="6412FEF9" w14:textId="77777777" w:rsidR="002E69E1" w:rsidRPr="009D7907" w:rsidRDefault="002E69E1" w:rsidP="00A3048C">
            <w:pPr>
              <w:pStyle w:val="BodyText"/>
              <w:rPr>
                <w:rFonts w:asciiTheme="minorHAnsi" w:hAnsiTheme="minorHAnsi" w:cstheme="minorHAnsi"/>
                <w:bCs/>
                <w:sz w:val="22"/>
                <w:szCs w:val="22"/>
              </w:rPr>
            </w:pPr>
          </w:p>
        </w:tc>
      </w:tr>
      <w:tr w:rsidR="00AE4B95" w:rsidRPr="009D7907" w14:paraId="79163A14" w14:textId="77777777" w:rsidTr="00A3048C">
        <w:tc>
          <w:tcPr>
            <w:tcW w:w="1730" w:type="dxa"/>
          </w:tcPr>
          <w:p w14:paraId="0E6C26B1" w14:textId="2E3293C0"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661507A0" w14:textId="655B03D1"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4FD26F39" w14:textId="6D31A7FF"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5701BF56" w14:textId="77777777" w:rsidR="00AE4B95" w:rsidRPr="009D7907" w:rsidRDefault="00AE4B95" w:rsidP="00AE4B95">
            <w:pPr>
              <w:pStyle w:val="BodyText"/>
              <w:rPr>
                <w:rFonts w:asciiTheme="minorHAnsi" w:hAnsiTheme="minorHAnsi" w:cstheme="minorHAnsi"/>
                <w:bCs/>
                <w:sz w:val="22"/>
                <w:szCs w:val="22"/>
              </w:rPr>
            </w:pPr>
          </w:p>
        </w:tc>
      </w:tr>
      <w:tr w:rsidR="00AE4B95" w:rsidRPr="009D7907" w14:paraId="7F96152E" w14:textId="77777777" w:rsidTr="00A3048C">
        <w:tc>
          <w:tcPr>
            <w:tcW w:w="1730" w:type="dxa"/>
          </w:tcPr>
          <w:p w14:paraId="64BF0A6C" w14:textId="1FD77C43"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 xml:space="preserve">Scottish Hydro Electric Power Distribution plc </w:t>
            </w:r>
            <w:r w:rsidRPr="009D7907">
              <w:rPr>
                <w:rFonts w:asciiTheme="minorHAnsi" w:hAnsiTheme="minorHAnsi" w:cstheme="minorHAnsi"/>
                <w:b w:val="0"/>
                <w:bCs/>
                <w:sz w:val="22"/>
                <w:szCs w:val="22"/>
              </w:rPr>
              <w:lastRenderedPageBreak/>
              <w:t>and Southern Electric Power Distribution plc</w:t>
            </w:r>
          </w:p>
        </w:tc>
        <w:tc>
          <w:tcPr>
            <w:tcW w:w="1559" w:type="dxa"/>
          </w:tcPr>
          <w:p w14:paraId="0FFFC680" w14:textId="28C6D1FC"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lastRenderedPageBreak/>
              <w:t>Non-confidential</w:t>
            </w:r>
          </w:p>
        </w:tc>
        <w:tc>
          <w:tcPr>
            <w:tcW w:w="7040" w:type="dxa"/>
          </w:tcPr>
          <w:p w14:paraId="626EDA3D" w14:textId="4FFAF0FC" w:rsidR="00AE4B95" w:rsidRPr="009D7907" w:rsidRDefault="006665B7"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51B749C6" w14:textId="77777777" w:rsidR="00AE4B95" w:rsidRPr="009D7907" w:rsidRDefault="00AE4B95" w:rsidP="00AE4B95">
            <w:pPr>
              <w:pStyle w:val="BodyText"/>
              <w:rPr>
                <w:rFonts w:asciiTheme="minorHAnsi" w:hAnsiTheme="minorHAnsi" w:cstheme="minorHAnsi"/>
                <w:bCs/>
                <w:sz w:val="22"/>
                <w:szCs w:val="22"/>
              </w:rPr>
            </w:pPr>
          </w:p>
        </w:tc>
      </w:tr>
      <w:tr w:rsidR="009D7907" w:rsidRPr="009D7907" w14:paraId="54E53DA8" w14:textId="77777777" w:rsidTr="00A3048C">
        <w:tc>
          <w:tcPr>
            <w:tcW w:w="1730" w:type="dxa"/>
          </w:tcPr>
          <w:p w14:paraId="3BB78743" w14:textId="087288E4"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National Grid Electricity Distribution</w:t>
            </w:r>
          </w:p>
        </w:tc>
        <w:tc>
          <w:tcPr>
            <w:tcW w:w="1559" w:type="dxa"/>
          </w:tcPr>
          <w:p w14:paraId="0ACCF16E" w14:textId="2CFA4BB3"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7356C580" w14:textId="76E66D4F"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62E3B6B6"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6D499B15" w14:textId="77777777" w:rsidTr="00A3048C">
        <w:tc>
          <w:tcPr>
            <w:tcW w:w="1730" w:type="dxa"/>
          </w:tcPr>
          <w:p w14:paraId="797B3231" w14:textId="09C31D52"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UK Power Networks</w:t>
            </w:r>
          </w:p>
        </w:tc>
        <w:tc>
          <w:tcPr>
            <w:tcW w:w="1559" w:type="dxa"/>
          </w:tcPr>
          <w:p w14:paraId="06416BAE" w14:textId="1D487C0F"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16CC98A7" w14:textId="28128A04"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4208F91D"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5AA2DEF6" w14:textId="77777777" w:rsidTr="00A3048C">
        <w:tc>
          <w:tcPr>
            <w:tcW w:w="14076" w:type="dxa"/>
            <w:gridSpan w:val="4"/>
            <w:shd w:val="clear" w:color="auto" w:fill="E2EFD9" w:themeFill="accent6" w:themeFillTint="33"/>
          </w:tcPr>
          <w:p w14:paraId="3BCF74C2" w14:textId="77777777" w:rsidR="009D7907" w:rsidRPr="009D7907" w:rsidRDefault="009D7907" w:rsidP="009D7907">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t xml:space="preserve">Working Group Conclusions: </w:t>
            </w:r>
          </w:p>
          <w:p w14:paraId="20BF0155" w14:textId="77777777" w:rsidR="009D7907" w:rsidRPr="009D7907" w:rsidRDefault="009D7907" w:rsidP="009D7907">
            <w:pPr>
              <w:pStyle w:val="BodyText"/>
              <w:rPr>
                <w:rFonts w:asciiTheme="minorHAnsi" w:hAnsiTheme="minorHAnsi" w:cstheme="minorHAnsi"/>
                <w:bCs/>
                <w:sz w:val="22"/>
                <w:szCs w:val="22"/>
                <w:lang w:val="en-GB"/>
              </w:rPr>
            </w:pPr>
          </w:p>
        </w:tc>
      </w:tr>
    </w:tbl>
    <w:p w14:paraId="66A0D53B" w14:textId="1EEBE077" w:rsidR="002E69E1" w:rsidRPr="009D7907" w:rsidRDefault="002E69E1"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23E57EB7"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C43D3ED"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2125D848"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43E709F0"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1175167B" w14:textId="2FC4B742" w:rsidR="002E69E1" w:rsidRPr="009D7907" w:rsidRDefault="002E69E1" w:rsidP="002E69E1">
            <w:pPr>
              <w:pStyle w:val="ListParagraph"/>
              <w:numPr>
                <w:ilvl w:val="0"/>
                <w:numId w:val="18"/>
              </w:numPr>
              <w:rPr>
                <w:rFonts w:asciiTheme="minorHAnsi" w:hAnsiTheme="minorHAnsi" w:cstheme="minorHAnsi"/>
                <w:bCs/>
                <w:sz w:val="22"/>
                <w:szCs w:val="22"/>
              </w:rPr>
            </w:pPr>
            <w:r w:rsidRPr="009D7907">
              <w:rPr>
                <w:rFonts w:asciiTheme="minorHAnsi" w:hAnsiTheme="minorHAnsi" w:cstheme="minorHAnsi"/>
                <w:bCs/>
                <w:sz w:val="22"/>
                <w:szCs w:val="22"/>
              </w:rPr>
              <w:t>Are you supportive of the proposed implementation date?</w:t>
            </w:r>
          </w:p>
        </w:tc>
        <w:tc>
          <w:tcPr>
            <w:tcW w:w="3747" w:type="dxa"/>
            <w:shd w:val="clear" w:color="auto" w:fill="E2EFD9" w:themeFill="accent6" w:themeFillTint="33"/>
          </w:tcPr>
          <w:p w14:paraId="53EC1B70"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2E69E1" w:rsidRPr="009D7907" w14:paraId="4F353298" w14:textId="77777777" w:rsidTr="00A3048C">
        <w:tc>
          <w:tcPr>
            <w:tcW w:w="1730" w:type="dxa"/>
          </w:tcPr>
          <w:p w14:paraId="363B02F4"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10ED27A1"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75160EEC" w14:textId="19FD773C" w:rsidR="002E69E1" w:rsidRPr="009D7907" w:rsidRDefault="002E69E1" w:rsidP="00A3048C">
            <w:pPr>
              <w:rPr>
                <w:rFonts w:asciiTheme="minorHAnsi" w:hAnsiTheme="minorHAnsi" w:cstheme="minorHAnsi"/>
                <w:bCs/>
                <w:sz w:val="22"/>
                <w:szCs w:val="22"/>
                <w:lang w:val="en-GB"/>
              </w:rPr>
            </w:pPr>
            <w:r w:rsidRPr="009D7907">
              <w:rPr>
                <w:rFonts w:asciiTheme="minorHAnsi" w:hAnsiTheme="minorHAnsi" w:cstheme="minorHAnsi"/>
                <w:bCs/>
                <w:sz w:val="22"/>
                <w:szCs w:val="22"/>
                <w:lang w:val="en-GB"/>
              </w:rPr>
              <w:t>Yes</w:t>
            </w:r>
          </w:p>
        </w:tc>
        <w:tc>
          <w:tcPr>
            <w:tcW w:w="3747" w:type="dxa"/>
            <w:shd w:val="clear" w:color="auto" w:fill="E2EFD9" w:themeFill="accent6" w:themeFillTint="33"/>
          </w:tcPr>
          <w:p w14:paraId="6A475FDB" w14:textId="77777777" w:rsidR="002E69E1" w:rsidRPr="009D7907" w:rsidRDefault="002E69E1" w:rsidP="00A3048C">
            <w:pPr>
              <w:pStyle w:val="BodyText"/>
              <w:rPr>
                <w:rFonts w:asciiTheme="minorHAnsi" w:hAnsiTheme="minorHAnsi" w:cstheme="minorHAnsi"/>
                <w:bCs/>
                <w:sz w:val="22"/>
                <w:szCs w:val="22"/>
              </w:rPr>
            </w:pPr>
          </w:p>
        </w:tc>
      </w:tr>
      <w:tr w:rsidR="00AE4B95" w:rsidRPr="009D7907" w14:paraId="055D7433" w14:textId="77777777" w:rsidTr="00A3048C">
        <w:tc>
          <w:tcPr>
            <w:tcW w:w="1730" w:type="dxa"/>
          </w:tcPr>
          <w:p w14:paraId="46E2C97C" w14:textId="66524768"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055872D7" w14:textId="7D8A5704"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1CD95320" w14:textId="4F2DAF93"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 xml:space="preserve">We believe that the legal text has been misinterpreted by the working group and that the change needs to be implemented by Apr-24 </w:t>
            </w:r>
            <w:proofErr w:type="gramStart"/>
            <w:r w:rsidRPr="009D7907">
              <w:rPr>
                <w:rFonts w:asciiTheme="minorHAnsi" w:hAnsiTheme="minorHAnsi" w:cstheme="minorHAnsi"/>
                <w:b w:val="0"/>
                <w:bCs/>
                <w:sz w:val="22"/>
                <w:szCs w:val="22"/>
                <w:lang w:val="en-GB"/>
              </w:rPr>
              <w:t>in order to</w:t>
            </w:r>
            <w:proofErr w:type="gramEnd"/>
            <w:r w:rsidRPr="009D7907">
              <w:rPr>
                <w:rFonts w:asciiTheme="minorHAnsi" w:hAnsiTheme="minorHAnsi" w:cstheme="minorHAnsi"/>
                <w:b w:val="0"/>
                <w:bCs/>
                <w:sz w:val="22"/>
                <w:szCs w:val="22"/>
                <w:lang w:val="en-GB"/>
              </w:rPr>
              <w:t xml:space="preserve"> be used for the next round of banding allocations rather than Apr-23.</w:t>
            </w:r>
          </w:p>
          <w:p w14:paraId="26B5875A" w14:textId="77777777" w:rsidR="00AE4B95" w:rsidRPr="009D7907" w:rsidRDefault="00AE4B95" w:rsidP="00AE4B95">
            <w:pPr>
              <w:pStyle w:val="BodyText"/>
              <w:rPr>
                <w:rFonts w:asciiTheme="minorHAnsi" w:hAnsiTheme="minorHAnsi" w:cstheme="minorHAnsi"/>
                <w:bCs/>
                <w:sz w:val="22"/>
                <w:szCs w:val="22"/>
                <w:lang w:val="en-GB"/>
              </w:rPr>
            </w:pPr>
          </w:p>
          <w:p w14:paraId="2D3A5EF3" w14:textId="5856AB0B"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lastRenderedPageBreak/>
              <w:t>The legal text specifies that the data needs to be provided to the banding agent by 31 March in year t-3, which would be 31 March 2024 (</w:t>
            </w:r>
            <w:proofErr w:type="gramStart"/>
            <w:r w:rsidRPr="009D7907">
              <w:rPr>
                <w:rFonts w:asciiTheme="minorHAnsi" w:hAnsiTheme="minorHAnsi" w:cstheme="minorHAnsi"/>
                <w:b w:val="0"/>
                <w:bCs/>
                <w:sz w:val="22"/>
                <w:szCs w:val="22"/>
                <w:lang w:val="en-GB"/>
              </w:rPr>
              <w:t>i.e.</w:t>
            </w:r>
            <w:proofErr w:type="gramEnd"/>
            <w:r w:rsidRPr="009D7907">
              <w:rPr>
                <w:rFonts w:asciiTheme="minorHAnsi" w:hAnsiTheme="minorHAnsi" w:cstheme="minorHAnsi"/>
                <w:b w:val="0"/>
                <w:bCs/>
                <w:sz w:val="22"/>
                <w:szCs w:val="22"/>
                <w:lang w:val="en-GB"/>
              </w:rPr>
              <w:t xml:space="preserve"> March in the 2023/24 regulatory year), therefore this could be implemented by Apr-24 at the latest.</w:t>
            </w:r>
          </w:p>
        </w:tc>
        <w:tc>
          <w:tcPr>
            <w:tcW w:w="3747" w:type="dxa"/>
            <w:shd w:val="clear" w:color="auto" w:fill="E2EFD9" w:themeFill="accent6" w:themeFillTint="33"/>
          </w:tcPr>
          <w:p w14:paraId="335956A3" w14:textId="77777777" w:rsidR="00AE4B95" w:rsidRPr="009D7907" w:rsidRDefault="00AE4B95" w:rsidP="00AE4B95">
            <w:pPr>
              <w:pStyle w:val="BodyText"/>
              <w:rPr>
                <w:rFonts w:asciiTheme="minorHAnsi" w:hAnsiTheme="minorHAnsi" w:cstheme="minorHAnsi"/>
                <w:bCs/>
                <w:sz w:val="22"/>
                <w:szCs w:val="22"/>
              </w:rPr>
            </w:pPr>
          </w:p>
        </w:tc>
      </w:tr>
      <w:tr w:rsidR="00AE4B95" w:rsidRPr="009D7907" w14:paraId="5E499D2A" w14:textId="77777777" w:rsidTr="00A3048C">
        <w:tc>
          <w:tcPr>
            <w:tcW w:w="1730" w:type="dxa"/>
          </w:tcPr>
          <w:p w14:paraId="6D3F78DB" w14:textId="06BF983B"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Scottish Hydro Electric Power Distribution plc and Southern Electric Power Distribution plc</w:t>
            </w:r>
          </w:p>
        </w:tc>
        <w:tc>
          <w:tcPr>
            <w:tcW w:w="1559" w:type="dxa"/>
          </w:tcPr>
          <w:p w14:paraId="370C4978" w14:textId="7F3FBEB6"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6D6B4740" w14:textId="4E2E1C22" w:rsidR="00AE4B95" w:rsidRPr="009D7907" w:rsidRDefault="006665B7"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4799471A" w14:textId="77777777" w:rsidR="00AE4B95" w:rsidRPr="009D7907" w:rsidRDefault="00AE4B95" w:rsidP="00AE4B95">
            <w:pPr>
              <w:pStyle w:val="BodyText"/>
              <w:rPr>
                <w:rFonts w:asciiTheme="minorHAnsi" w:hAnsiTheme="minorHAnsi" w:cstheme="minorHAnsi"/>
                <w:bCs/>
                <w:sz w:val="22"/>
                <w:szCs w:val="22"/>
              </w:rPr>
            </w:pPr>
          </w:p>
        </w:tc>
      </w:tr>
      <w:tr w:rsidR="009D7907" w:rsidRPr="009D7907" w14:paraId="74467302" w14:textId="77777777" w:rsidTr="00A3048C">
        <w:tc>
          <w:tcPr>
            <w:tcW w:w="1730" w:type="dxa"/>
          </w:tcPr>
          <w:p w14:paraId="491F439A" w14:textId="4077247B"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National Grid Electricity Distribution</w:t>
            </w:r>
          </w:p>
        </w:tc>
        <w:tc>
          <w:tcPr>
            <w:tcW w:w="1559" w:type="dxa"/>
          </w:tcPr>
          <w:p w14:paraId="4F7141A3" w14:textId="35BF50FC"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46EFEA1F" w14:textId="6390B1F1"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7CF59447"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4881F5C5" w14:textId="77777777" w:rsidTr="00A3048C">
        <w:tc>
          <w:tcPr>
            <w:tcW w:w="1730" w:type="dxa"/>
          </w:tcPr>
          <w:p w14:paraId="4DB70072" w14:textId="1C716628"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UK Power Networks</w:t>
            </w:r>
          </w:p>
        </w:tc>
        <w:tc>
          <w:tcPr>
            <w:tcW w:w="1559" w:type="dxa"/>
          </w:tcPr>
          <w:p w14:paraId="009904D6" w14:textId="4568D3DD"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095B3D0B" w14:textId="767F06C2"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0C41846D"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4787E923" w14:textId="77777777" w:rsidTr="00A3048C">
        <w:tc>
          <w:tcPr>
            <w:tcW w:w="14076" w:type="dxa"/>
            <w:gridSpan w:val="4"/>
            <w:shd w:val="clear" w:color="auto" w:fill="E2EFD9" w:themeFill="accent6" w:themeFillTint="33"/>
          </w:tcPr>
          <w:p w14:paraId="3CBE502F" w14:textId="77777777" w:rsidR="009D7907" w:rsidRPr="009D7907" w:rsidRDefault="009D7907" w:rsidP="009D7907">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t xml:space="preserve">Working Group Conclusions: </w:t>
            </w:r>
          </w:p>
          <w:p w14:paraId="6C16F37D" w14:textId="77777777" w:rsidR="009D7907" w:rsidRPr="009D7907" w:rsidRDefault="009D7907" w:rsidP="009D7907">
            <w:pPr>
              <w:pStyle w:val="BodyText"/>
              <w:rPr>
                <w:rFonts w:asciiTheme="minorHAnsi" w:hAnsiTheme="minorHAnsi" w:cstheme="minorHAnsi"/>
                <w:bCs/>
                <w:sz w:val="22"/>
                <w:szCs w:val="22"/>
                <w:lang w:val="en-GB"/>
              </w:rPr>
            </w:pPr>
          </w:p>
        </w:tc>
      </w:tr>
    </w:tbl>
    <w:p w14:paraId="5A0EFE6F" w14:textId="021CC713" w:rsidR="002E69E1" w:rsidRPr="009D7907" w:rsidRDefault="002E69E1"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0619283D"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F2374E1"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2E47AB2A"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0E7E326B"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1A60E347" w14:textId="065F7DEB" w:rsidR="002E69E1" w:rsidRPr="009D7907" w:rsidRDefault="002E69E1" w:rsidP="002E69E1">
            <w:pPr>
              <w:pStyle w:val="ListParagraph"/>
              <w:numPr>
                <w:ilvl w:val="0"/>
                <w:numId w:val="18"/>
              </w:numPr>
              <w:rPr>
                <w:rFonts w:asciiTheme="minorHAnsi" w:hAnsiTheme="minorHAnsi" w:cstheme="minorHAnsi"/>
                <w:bCs/>
                <w:sz w:val="22"/>
                <w:szCs w:val="22"/>
              </w:rPr>
            </w:pPr>
            <w:r w:rsidRPr="009D7907">
              <w:rPr>
                <w:rFonts w:asciiTheme="minorHAnsi" w:hAnsiTheme="minorHAnsi" w:cstheme="minorHAnsi"/>
                <w:bCs/>
                <w:sz w:val="22"/>
                <w:szCs w:val="22"/>
              </w:rPr>
              <w:t>Do you have any comments on the draft legal text?</w:t>
            </w:r>
          </w:p>
        </w:tc>
        <w:tc>
          <w:tcPr>
            <w:tcW w:w="3747" w:type="dxa"/>
            <w:shd w:val="clear" w:color="auto" w:fill="E2EFD9" w:themeFill="accent6" w:themeFillTint="33"/>
          </w:tcPr>
          <w:p w14:paraId="11FBDB4F"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2E69E1" w:rsidRPr="009D7907" w14:paraId="52F5D7DC" w14:textId="77777777" w:rsidTr="00A3048C">
        <w:tc>
          <w:tcPr>
            <w:tcW w:w="1730" w:type="dxa"/>
          </w:tcPr>
          <w:p w14:paraId="0E296B07"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lastRenderedPageBreak/>
              <w:t>SP Energy Networks</w:t>
            </w:r>
          </w:p>
        </w:tc>
        <w:tc>
          <w:tcPr>
            <w:tcW w:w="1559" w:type="dxa"/>
          </w:tcPr>
          <w:p w14:paraId="65FBAE3A"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0357DA3D" w14:textId="4F11C4D5" w:rsidR="002E69E1" w:rsidRPr="009D7907" w:rsidRDefault="002E69E1" w:rsidP="00A3048C">
            <w:pPr>
              <w:rPr>
                <w:rFonts w:asciiTheme="minorHAnsi" w:hAnsiTheme="minorHAnsi" w:cstheme="minorHAnsi"/>
                <w:bCs/>
                <w:sz w:val="22"/>
                <w:szCs w:val="22"/>
              </w:rPr>
            </w:pPr>
            <w:r w:rsidRPr="009D7907">
              <w:rPr>
                <w:rFonts w:asciiTheme="minorHAnsi" w:hAnsiTheme="minorHAnsi" w:cstheme="minorHAnsi"/>
                <w:bCs/>
                <w:sz w:val="22"/>
                <w:szCs w:val="22"/>
              </w:rPr>
              <w:t>The new paragraphs of legal text all end with “following the effective from date of the reallocation”. This does not read well, we would suggest rewording slightly to “following the date of the band reallocation”, to enhance understanding for the layperson.</w:t>
            </w:r>
          </w:p>
        </w:tc>
        <w:tc>
          <w:tcPr>
            <w:tcW w:w="3747" w:type="dxa"/>
            <w:shd w:val="clear" w:color="auto" w:fill="E2EFD9" w:themeFill="accent6" w:themeFillTint="33"/>
          </w:tcPr>
          <w:p w14:paraId="5C5C109A" w14:textId="77777777" w:rsidR="002E69E1" w:rsidRPr="009D7907" w:rsidRDefault="002E69E1" w:rsidP="00A3048C">
            <w:pPr>
              <w:pStyle w:val="BodyText"/>
              <w:rPr>
                <w:rFonts w:asciiTheme="minorHAnsi" w:hAnsiTheme="minorHAnsi" w:cstheme="minorHAnsi"/>
                <w:bCs/>
                <w:sz w:val="22"/>
                <w:szCs w:val="22"/>
              </w:rPr>
            </w:pPr>
          </w:p>
        </w:tc>
      </w:tr>
      <w:tr w:rsidR="00AE4B95" w:rsidRPr="009D7907" w14:paraId="14DD3788" w14:textId="77777777" w:rsidTr="00A3048C">
        <w:tc>
          <w:tcPr>
            <w:tcW w:w="1730" w:type="dxa"/>
          </w:tcPr>
          <w:p w14:paraId="3C66ECB0" w14:textId="03245C07"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5392E6A4" w14:textId="24EB238E"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70CD1DF1" w14:textId="77777777" w:rsidR="00AE4B95" w:rsidRPr="009D7907" w:rsidRDefault="00AE4B95" w:rsidP="00AE4B95">
            <w:pPr>
              <w:pStyle w:val="BodyText"/>
              <w:rPr>
                <w:rFonts w:asciiTheme="minorHAnsi" w:hAnsiTheme="minorHAnsi" w:cstheme="minorHAnsi"/>
                <w:bCs/>
                <w:sz w:val="22"/>
                <w:szCs w:val="22"/>
              </w:rPr>
            </w:pPr>
            <w:r w:rsidRPr="009D7907">
              <w:rPr>
                <w:rFonts w:asciiTheme="minorHAnsi" w:hAnsiTheme="minorHAnsi" w:cstheme="minorHAnsi"/>
                <w:bCs/>
                <w:sz w:val="22"/>
                <w:szCs w:val="22"/>
              </w:rPr>
              <w:t>This CP goes someway to address the concerns we set out in DCP360 ‘Ofgem Targeted Charging Review Implementation: Allocation to Bands and Interventions’, where we did not support the ‘blind average’ approach taken to allocating a Final Demand Site to a charging band. We argued for a more proactive approach which we considered would reduce the potential for:</w:t>
            </w:r>
          </w:p>
          <w:p w14:paraId="0802886A" w14:textId="77777777" w:rsidR="00AE4B95" w:rsidRPr="009D7907" w:rsidRDefault="00AE4B95" w:rsidP="00AE4B95">
            <w:pPr>
              <w:pStyle w:val="BodyText"/>
              <w:numPr>
                <w:ilvl w:val="5"/>
                <w:numId w:val="24"/>
              </w:numPr>
              <w:spacing w:after="200" w:line="240" w:lineRule="atLeast"/>
              <w:ind w:left="625" w:hanging="284"/>
              <w:rPr>
                <w:rFonts w:asciiTheme="minorHAnsi" w:hAnsiTheme="minorHAnsi" w:cstheme="minorHAnsi"/>
                <w:bCs/>
                <w:sz w:val="22"/>
                <w:szCs w:val="22"/>
              </w:rPr>
            </w:pPr>
            <w:r w:rsidRPr="009D7907">
              <w:rPr>
                <w:rFonts w:asciiTheme="minorHAnsi" w:hAnsiTheme="minorHAnsi" w:cstheme="minorHAnsi"/>
                <w:bCs/>
                <w:sz w:val="22"/>
                <w:szCs w:val="22"/>
              </w:rPr>
              <w:t xml:space="preserve">reallocations mid-price control period; and </w:t>
            </w:r>
          </w:p>
          <w:p w14:paraId="6437EDF2" w14:textId="77777777" w:rsidR="00AE4B95" w:rsidRPr="009D7907" w:rsidRDefault="00AE4B95" w:rsidP="00AE4B95">
            <w:pPr>
              <w:pStyle w:val="BodyText"/>
              <w:numPr>
                <w:ilvl w:val="5"/>
                <w:numId w:val="24"/>
              </w:numPr>
              <w:spacing w:after="200" w:line="240" w:lineRule="atLeast"/>
              <w:ind w:left="625" w:hanging="284"/>
              <w:rPr>
                <w:rFonts w:asciiTheme="minorHAnsi" w:hAnsiTheme="minorHAnsi" w:cstheme="minorHAnsi"/>
                <w:bCs/>
                <w:sz w:val="22"/>
                <w:szCs w:val="22"/>
              </w:rPr>
            </w:pPr>
            <w:r w:rsidRPr="009D7907">
              <w:rPr>
                <w:rFonts w:asciiTheme="minorHAnsi" w:hAnsiTheme="minorHAnsi" w:cstheme="minorHAnsi"/>
                <w:bCs/>
                <w:sz w:val="22"/>
                <w:szCs w:val="22"/>
              </w:rPr>
              <w:t xml:space="preserve">disputes raised by customers. </w:t>
            </w:r>
          </w:p>
          <w:p w14:paraId="50B059E5" w14:textId="77777777" w:rsidR="00AE4B95" w:rsidRPr="009D7907" w:rsidRDefault="00AE4B95" w:rsidP="00AE4B95">
            <w:pPr>
              <w:pStyle w:val="BodyText"/>
              <w:rPr>
                <w:rFonts w:asciiTheme="minorHAnsi" w:hAnsiTheme="minorHAnsi" w:cstheme="minorHAnsi"/>
                <w:bCs/>
                <w:sz w:val="22"/>
                <w:szCs w:val="22"/>
              </w:rPr>
            </w:pPr>
            <w:r w:rsidRPr="009D7907">
              <w:rPr>
                <w:rFonts w:asciiTheme="minorHAnsi" w:hAnsiTheme="minorHAnsi" w:cstheme="minorHAnsi"/>
                <w:bCs/>
                <w:sz w:val="22"/>
                <w:szCs w:val="22"/>
              </w:rPr>
              <w:t>However, this CP does not go far enough.</w:t>
            </w:r>
          </w:p>
          <w:p w14:paraId="18757F22" w14:textId="77777777" w:rsidR="00AE4B95" w:rsidRPr="009D7907" w:rsidRDefault="00AE4B95" w:rsidP="00AE4B95">
            <w:pPr>
              <w:pStyle w:val="BodyText"/>
              <w:rPr>
                <w:rFonts w:asciiTheme="minorHAnsi" w:hAnsiTheme="minorHAnsi" w:cstheme="minorHAnsi"/>
                <w:bCs/>
                <w:sz w:val="22"/>
                <w:szCs w:val="22"/>
              </w:rPr>
            </w:pPr>
            <w:r w:rsidRPr="009D7907">
              <w:rPr>
                <w:rFonts w:asciiTheme="minorHAnsi" w:hAnsiTheme="minorHAnsi" w:cstheme="minorHAnsi"/>
                <w:bCs/>
                <w:sz w:val="22"/>
                <w:szCs w:val="22"/>
              </w:rPr>
              <w:t>We propose that the legal text is amended to allow a DNO/IDNO Party to consider changes in MIC during the period in which average data is being assessed and which is not restricted to where a Final Demand Site has been reallocated in the previous fixed banding period via the exceptional circumstances. We do not think that this necessarily needs to be subject to a prescriptive materiality test but we recognise that the absence of such a defined threshold may lead to inconsistent approaches taken by different DNO/IDNO Party(</w:t>
            </w:r>
            <w:proofErr w:type="spellStart"/>
            <w:r w:rsidRPr="009D7907">
              <w:rPr>
                <w:rFonts w:asciiTheme="minorHAnsi" w:hAnsiTheme="minorHAnsi" w:cstheme="minorHAnsi"/>
                <w:bCs/>
                <w:sz w:val="22"/>
                <w:szCs w:val="22"/>
              </w:rPr>
              <w:t>ies</w:t>
            </w:r>
            <w:proofErr w:type="spellEnd"/>
            <w:r w:rsidRPr="009D7907">
              <w:rPr>
                <w:rFonts w:asciiTheme="minorHAnsi" w:hAnsiTheme="minorHAnsi" w:cstheme="minorHAnsi"/>
                <w:bCs/>
                <w:sz w:val="22"/>
                <w:szCs w:val="22"/>
              </w:rPr>
              <w:t>). As such, the Working Group should consider a lower threshold to satisfy this test when initially allocating a Final Demand Site to a charging band, such as [</w:t>
            </w:r>
            <w:r w:rsidRPr="009D7907">
              <w:rPr>
                <w:rFonts w:asciiTheme="minorHAnsi" w:hAnsiTheme="minorHAnsi" w:cstheme="minorHAnsi"/>
                <w:bCs/>
                <w:sz w:val="22"/>
                <w:szCs w:val="22"/>
                <w:highlight w:val="yellow"/>
              </w:rPr>
              <w:t>20%</w:t>
            </w:r>
            <w:r w:rsidRPr="009D7907">
              <w:rPr>
                <w:rFonts w:asciiTheme="minorHAnsi" w:hAnsiTheme="minorHAnsi" w:cstheme="minorHAnsi"/>
                <w:bCs/>
                <w:sz w:val="22"/>
                <w:szCs w:val="22"/>
              </w:rPr>
              <w:t>]. Whilst this threshold may be arbitrary, the 50% test that exists now is equally so.</w:t>
            </w:r>
          </w:p>
          <w:p w14:paraId="45A6FF17" w14:textId="6E9B0621"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lastRenderedPageBreak/>
              <w:t>We recognise that either method would create divergence between the revised allocation approach (to be implemented by this CP) and the exceptional circumstances set out in section 6 of Schedule 32. It is our view that facilitating allocation of a Final Demand Site to the appropriate charging band would reduce the number of customers seeking reallocation mid-period – and therefore a change to the materiality applicable to exceptional circumstances is not necessary to justify this CP being implemented (i.e. different approaches to materiality can be justified).</w:t>
            </w:r>
          </w:p>
        </w:tc>
        <w:tc>
          <w:tcPr>
            <w:tcW w:w="3747" w:type="dxa"/>
            <w:shd w:val="clear" w:color="auto" w:fill="E2EFD9" w:themeFill="accent6" w:themeFillTint="33"/>
          </w:tcPr>
          <w:p w14:paraId="3294E335" w14:textId="77777777" w:rsidR="00AE4B95" w:rsidRPr="009D7907" w:rsidRDefault="00AE4B95" w:rsidP="00AE4B95">
            <w:pPr>
              <w:pStyle w:val="BodyText"/>
              <w:rPr>
                <w:rFonts w:asciiTheme="minorHAnsi" w:hAnsiTheme="minorHAnsi" w:cstheme="minorHAnsi"/>
                <w:bCs/>
                <w:sz w:val="22"/>
                <w:szCs w:val="22"/>
              </w:rPr>
            </w:pPr>
          </w:p>
        </w:tc>
      </w:tr>
      <w:tr w:rsidR="00AE4B95" w:rsidRPr="009D7907" w14:paraId="4EB8EB6A" w14:textId="77777777" w:rsidTr="00A3048C">
        <w:tc>
          <w:tcPr>
            <w:tcW w:w="1730" w:type="dxa"/>
          </w:tcPr>
          <w:p w14:paraId="05A816A1" w14:textId="521E806E"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Scottish Hydro Electric Power Distribution plc and Southern Electric Power Distribution plc</w:t>
            </w:r>
          </w:p>
        </w:tc>
        <w:tc>
          <w:tcPr>
            <w:tcW w:w="1559" w:type="dxa"/>
          </w:tcPr>
          <w:p w14:paraId="1C78D723" w14:textId="7731E6F5"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62E2197A" w14:textId="6E9E0A5B" w:rsidR="00AE4B95" w:rsidRPr="009D7907" w:rsidRDefault="006665B7"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16F84D44" w14:textId="77777777" w:rsidR="00AE4B95" w:rsidRPr="009D7907" w:rsidRDefault="00AE4B95" w:rsidP="00AE4B95">
            <w:pPr>
              <w:pStyle w:val="BodyText"/>
              <w:rPr>
                <w:rFonts w:asciiTheme="minorHAnsi" w:hAnsiTheme="minorHAnsi" w:cstheme="minorHAnsi"/>
                <w:bCs/>
                <w:sz w:val="22"/>
                <w:szCs w:val="22"/>
              </w:rPr>
            </w:pPr>
          </w:p>
        </w:tc>
      </w:tr>
      <w:tr w:rsidR="009D7907" w:rsidRPr="009D7907" w14:paraId="401828D1" w14:textId="77777777" w:rsidTr="00A3048C">
        <w:tc>
          <w:tcPr>
            <w:tcW w:w="1730" w:type="dxa"/>
          </w:tcPr>
          <w:p w14:paraId="272C26D0" w14:textId="0306C58C"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National Grid Electricity Distribution</w:t>
            </w:r>
          </w:p>
        </w:tc>
        <w:tc>
          <w:tcPr>
            <w:tcW w:w="1559" w:type="dxa"/>
          </w:tcPr>
          <w:p w14:paraId="63D9C337" w14:textId="35D5396B"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34230406" w14:textId="545242E3"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3E5E3B5D"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4A618FCD" w14:textId="77777777" w:rsidTr="00A3048C">
        <w:tc>
          <w:tcPr>
            <w:tcW w:w="1730" w:type="dxa"/>
          </w:tcPr>
          <w:p w14:paraId="79E29F15" w14:textId="018E7111"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UK Power Networks</w:t>
            </w:r>
          </w:p>
        </w:tc>
        <w:tc>
          <w:tcPr>
            <w:tcW w:w="1559" w:type="dxa"/>
          </w:tcPr>
          <w:p w14:paraId="05FDDB93" w14:textId="50945172"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76DD3C17" w14:textId="0378E2A2"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20572635" w14:textId="77777777" w:rsidR="009D7907" w:rsidRPr="009D7907" w:rsidRDefault="009D7907" w:rsidP="009D7907">
            <w:pPr>
              <w:pStyle w:val="BodyText"/>
              <w:rPr>
                <w:rFonts w:asciiTheme="minorHAnsi" w:hAnsiTheme="minorHAnsi" w:cstheme="minorHAnsi"/>
                <w:bCs/>
                <w:sz w:val="22"/>
                <w:szCs w:val="22"/>
              </w:rPr>
            </w:pPr>
          </w:p>
        </w:tc>
      </w:tr>
      <w:tr w:rsidR="009D7907" w:rsidRPr="009D7907" w14:paraId="3F811FED" w14:textId="77777777" w:rsidTr="00A3048C">
        <w:tc>
          <w:tcPr>
            <w:tcW w:w="14076" w:type="dxa"/>
            <w:gridSpan w:val="4"/>
            <w:shd w:val="clear" w:color="auto" w:fill="E2EFD9" w:themeFill="accent6" w:themeFillTint="33"/>
          </w:tcPr>
          <w:p w14:paraId="1BD68F6E" w14:textId="77777777" w:rsidR="009D7907" w:rsidRPr="009D7907" w:rsidRDefault="009D7907" w:rsidP="009D7907">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t xml:space="preserve">Working Group Conclusions: </w:t>
            </w:r>
          </w:p>
          <w:p w14:paraId="11492E47" w14:textId="77777777" w:rsidR="009D7907" w:rsidRPr="009D7907" w:rsidRDefault="009D7907" w:rsidP="009D7907">
            <w:pPr>
              <w:pStyle w:val="BodyText"/>
              <w:rPr>
                <w:rFonts w:asciiTheme="minorHAnsi" w:hAnsiTheme="minorHAnsi" w:cstheme="minorHAnsi"/>
                <w:bCs/>
                <w:sz w:val="22"/>
                <w:szCs w:val="22"/>
                <w:lang w:val="en-GB"/>
              </w:rPr>
            </w:pPr>
          </w:p>
        </w:tc>
      </w:tr>
    </w:tbl>
    <w:p w14:paraId="250DD7FB" w14:textId="77777777" w:rsidR="002E69E1" w:rsidRPr="009D7907" w:rsidRDefault="002E69E1" w:rsidP="002E69E1">
      <w:pPr>
        <w:rPr>
          <w:rFonts w:cstheme="minorHAnsi"/>
          <w:bCs/>
        </w:rPr>
      </w:pPr>
    </w:p>
    <w:sectPr w:rsidR="002E69E1" w:rsidRPr="009D7907"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5222B" w14:textId="77777777" w:rsidR="001E1A14" w:rsidRDefault="001E1A14" w:rsidP="005023A8">
      <w:pPr>
        <w:spacing w:after="0" w:line="240" w:lineRule="auto"/>
      </w:pPr>
      <w:r>
        <w:separator/>
      </w:r>
    </w:p>
  </w:endnote>
  <w:endnote w:type="continuationSeparator" w:id="0">
    <w:p w14:paraId="25BA884D" w14:textId="77777777" w:rsidR="001E1A14" w:rsidRDefault="001E1A14"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7F3D" w14:textId="77777777" w:rsidR="001E1A14" w:rsidRDefault="001E1A14" w:rsidP="005023A8">
      <w:pPr>
        <w:spacing w:after="0" w:line="240" w:lineRule="auto"/>
      </w:pPr>
      <w:r>
        <w:separator/>
      </w:r>
    </w:p>
  </w:footnote>
  <w:footnote w:type="continuationSeparator" w:id="0">
    <w:p w14:paraId="14F78C4A" w14:textId="77777777" w:rsidR="001E1A14" w:rsidRDefault="001E1A14"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DB0A" w14:textId="77777777" w:rsidR="009F000F" w:rsidRDefault="00912954" w:rsidP="00160FB4">
    <w:pPr>
      <w:pStyle w:val="Subtitle"/>
      <w:spacing w:line="360" w:lineRule="auto"/>
      <w:jc w:val="center"/>
      <w:rPr>
        <w:b/>
      </w:rPr>
    </w:pPr>
    <w:r w:rsidRPr="009343E3">
      <w:rPr>
        <w:b/>
      </w:rPr>
      <w:t xml:space="preserve">DCP </w:t>
    </w:r>
    <w:r w:rsidR="009F000F">
      <w:rPr>
        <w:b/>
      </w:rPr>
      <w:t>410</w:t>
    </w:r>
  </w:p>
  <w:p w14:paraId="58E180CF" w14:textId="496BD1A1" w:rsidR="00843F40" w:rsidRDefault="00912954" w:rsidP="00160FB4">
    <w:pPr>
      <w:pStyle w:val="Subtitle"/>
      <w:spacing w:line="360" w:lineRule="auto"/>
      <w:jc w:val="center"/>
      <w:rPr>
        <w:b/>
      </w:rPr>
    </w:pPr>
    <w:r>
      <w:rPr>
        <w:b/>
      </w:rPr>
      <w:t>‘</w:t>
    </w:r>
    <w:r w:rsidR="009F000F" w:rsidRPr="009F000F">
      <w:rPr>
        <w:b/>
      </w:rPr>
      <w:t>Fairer re-assessment of the allocation of Final Demand Sites prior to subsequent price control periods</w:t>
    </w:r>
    <w:r w:rsidR="0025707C">
      <w:rPr>
        <w:b/>
      </w:rPr>
      <w:t>’</w:t>
    </w:r>
    <w:r w:rsidR="00C32F41" w:rsidRPr="00C32F41">
      <w:rPr>
        <w:b/>
      </w:rPr>
      <w:t xml:space="preserve"> </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8821D8D"/>
    <w:multiLevelType w:val="hybridMultilevel"/>
    <w:tmpl w:val="A50C2906"/>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Courier New"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Courier New" w:hint="default"/>
      </w:rPr>
    </w:lvl>
    <w:lvl w:ilvl="8" w:tplc="08090005">
      <w:start w:val="1"/>
      <w:numFmt w:val="bullet"/>
      <w:lvlText w:val=""/>
      <w:lvlJc w:val="left"/>
      <w:pPr>
        <w:ind w:left="6555" w:hanging="360"/>
      </w:pPr>
      <w:rPr>
        <w:rFonts w:ascii="Wingdings" w:hAnsi="Wingdings" w:hint="default"/>
      </w:rPr>
    </w:lvl>
  </w:abstractNum>
  <w:abstractNum w:abstractNumId="3" w15:restartNumberingAfterBreak="0">
    <w:nsid w:val="0FB6732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80508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9A1641"/>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07321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00E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4E1C6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1603D4"/>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1C05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5C35B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29556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1442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1B1A9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1653AE"/>
    <w:multiLevelType w:val="hybridMultilevel"/>
    <w:tmpl w:val="9FBEE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9E42E6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8F174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8657CD"/>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19"/>
  </w:num>
  <w:num w:numId="3" w16cid:durableId="148450397">
    <w:abstractNumId w:val="4"/>
  </w:num>
  <w:num w:numId="4" w16cid:durableId="532497092">
    <w:abstractNumId w:val="23"/>
  </w:num>
  <w:num w:numId="5" w16cid:durableId="386488825">
    <w:abstractNumId w:val="1"/>
  </w:num>
  <w:num w:numId="6" w16cid:durableId="1387876566">
    <w:abstractNumId w:val="10"/>
  </w:num>
  <w:num w:numId="7" w16cid:durableId="866140177">
    <w:abstractNumId w:val="9"/>
  </w:num>
  <w:num w:numId="8" w16cid:durableId="558783746">
    <w:abstractNumId w:val="14"/>
  </w:num>
  <w:num w:numId="9" w16cid:durableId="656223843">
    <w:abstractNumId w:val="22"/>
  </w:num>
  <w:num w:numId="10" w16cid:durableId="1744260708">
    <w:abstractNumId w:val="17"/>
  </w:num>
  <w:num w:numId="11" w16cid:durableId="450319606">
    <w:abstractNumId w:val="3"/>
  </w:num>
  <w:num w:numId="12" w16cid:durableId="532308695">
    <w:abstractNumId w:val="7"/>
  </w:num>
  <w:num w:numId="13" w16cid:durableId="1473407187">
    <w:abstractNumId w:val="20"/>
  </w:num>
  <w:num w:numId="14" w16cid:durableId="1564484942">
    <w:abstractNumId w:val="15"/>
  </w:num>
  <w:num w:numId="15" w16cid:durableId="257099949">
    <w:abstractNumId w:val="11"/>
  </w:num>
  <w:num w:numId="16" w16cid:durableId="286283124">
    <w:abstractNumId w:val="12"/>
  </w:num>
  <w:num w:numId="17" w16cid:durableId="422461900">
    <w:abstractNumId w:val="21"/>
  </w:num>
  <w:num w:numId="18" w16cid:durableId="1494830009">
    <w:abstractNumId w:val="18"/>
  </w:num>
  <w:num w:numId="19" w16cid:durableId="1522890316">
    <w:abstractNumId w:val="8"/>
  </w:num>
  <w:num w:numId="20" w16cid:durableId="327709925">
    <w:abstractNumId w:val="5"/>
  </w:num>
  <w:num w:numId="21" w16cid:durableId="1478689511">
    <w:abstractNumId w:val="16"/>
  </w:num>
  <w:num w:numId="22" w16cid:durableId="487601149">
    <w:abstractNumId w:val="13"/>
  </w:num>
  <w:num w:numId="23" w16cid:durableId="1676759015">
    <w:abstractNumId w:val="6"/>
  </w:num>
  <w:num w:numId="24" w16cid:durableId="2052411584">
    <w:abstractNumId w:val="2"/>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753B"/>
    <w:rsid w:val="00007C5C"/>
    <w:rsid w:val="0001379F"/>
    <w:rsid w:val="0001439E"/>
    <w:rsid w:val="00014CF9"/>
    <w:rsid w:val="00021093"/>
    <w:rsid w:val="00021499"/>
    <w:rsid w:val="00023351"/>
    <w:rsid w:val="00035295"/>
    <w:rsid w:val="00035581"/>
    <w:rsid w:val="00036C9C"/>
    <w:rsid w:val="00036CBC"/>
    <w:rsid w:val="0004341C"/>
    <w:rsid w:val="00046882"/>
    <w:rsid w:val="000511D1"/>
    <w:rsid w:val="00051A34"/>
    <w:rsid w:val="00052C1E"/>
    <w:rsid w:val="0005450C"/>
    <w:rsid w:val="00054E93"/>
    <w:rsid w:val="000556D5"/>
    <w:rsid w:val="00056A93"/>
    <w:rsid w:val="00061CD9"/>
    <w:rsid w:val="0006257B"/>
    <w:rsid w:val="000710B0"/>
    <w:rsid w:val="00074022"/>
    <w:rsid w:val="000767D1"/>
    <w:rsid w:val="00083E76"/>
    <w:rsid w:val="00086A68"/>
    <w:rsid w:val="00090D10"/>
    <w:rsid w:val="00091CFC"/>
    <w:rsid w:val="0009221C"/>
    <w:rsid w:val="000923AC"/>
    <w:rsid w:val="000A4633"/>
    <w:rsid w:val="000A5527"/>
    <w:rsid w:val="000A7CCF"/>
    <w:rsid w:val="000A7CE8"/>
    <w:rsid w:val="000B34E5"/>
    <w:rsid w:val="000B48B1"/>
    <w:rsid w:val="000B5ABC"/>
    <w:rsid w:val="000C1AA2"/>
    <w:rsid w:val="000C4CB4"/>
    <w:rsid w:val="000C5CF9"/>
    <w:rsid w:val="000C7D95"/>
    <w:rsid w:val="000D1450"/>
    <w:rsid w:val="000D5D10"/>
    <w:rsid w:val="000E134B"/>
    <w:rsid w:val="000E4723"/>
    <w:rsid w:val="000F5BD2"/>
    <w:rsid w:val="000F5CBE"/>
    <w:rsid w:val="000F6EDD"/>
    <w:rsid w:val="001071D6"/>
    <w:rsid w:val="0011095B"/>
    <w:rsid w:val="00110BDB"/>
    <w:rsid w:val="00114979"/>
    <w:rsid w:val="001206AF"/>
    <w:rsid w:val="00121B96"/>
    <w:rsid w:val="00131490"/>
    <w:rsid w:val="00133996"/>
    <w:rsid w:val="00140B39"/>
    <w:rsid w:val="00143B75"/>
    <w:rsid w:val="00146634"/>
    <w:rsid w:val="0015252B"/>
    <w:rsid w:val="0015638A"/>
    <w:rsid w:val="001578E9"/>
    <w:rsid w:val="00160FB4"/>
    <w:rsid w:val="001618FC"/>
    <w:rsid w:val="00166D55"/>
    <w:rsid w:val="001776A6"/>
    <w:rsid w:val="00180279"/>
    <w:rsid w:val="001802AD"/>
    <w:rsid w:val="00180C23"/>
    <w:rsid w:val="00182DC4"/>
    <w:rsid w:val="001847B8"/>
    <w:rsid w:val="00191451"/>
    <w:rsid w:val="001929B0"/>
    <w:rsid w:val="001935EF"/>
    <w:rsid w:val="0019512B"/>
    <w:rsid w:val="001A1CF6"/>
    <w:rsid w:val="001A678B"/>
    <w:rsid w:val="001A6931"/>
    <w:rsid w:val="001A78AB"/>
    <w:rsid w:val="001A7DAF"/>
    <w:rsid w:val="001B194B"/>
    <w:rsid w:val="001B6162"/>
    <w:rsid w:val="001B66BF"/>
    <w:rsid w:val="001B66C8"/>
    <w:rsid w:val="001C12C3"/>
    <w:rsid w:val="001C3AE1"/>
    <w:rsid w:val="001C70BC"/>
    <w:rsid w:val="001C7254"/>
    <w:rsid w:val="001D1626"/>
    <w:rsid w:val="001D65AD"/>
    <w:rsid w:val="001D782E"/>
    <w:rsid w:val="001D78D0"/>
    <w:rsid w:val="001E1A14"/>
    <w:rsid w:val="001F04DA"/>
    <w:rsid w:val="002015EA"/>
    <w:rsid w:val="00204ED3"/>
    <w:rsid w:val="002113D6"/>
    <w:rsid w:val="0021195A"/>
    <w:rsid w:val="0021338B"/>
    <w:rsid w:val="00216695"/>
    <w:rsid w:val="00222ABF"/>
    <w:rsid w:val="0022748B"/>
    <w:rsid w:val="00233A42"/>
    <w:rsid w:val="00236B5E"/>
    <w:rsid w:val="00237DD6"/>
    <w:rsid w:val="00240BD0"/>
    <w:rsid w:val="00242C9E"/>
    <w:rsid w:val="00246058"/>
    <w:rsid w:val="00250533"/>
    <w:rsid w:val="0025707C"/>
    <w:rsid w:val="0026089F"/>
    <w:rsid w:val="00260A9A"/>
    <w:rsid w:val="00260C0B"/>
    <w:rsid w:val="00267BF3"/>
    <w:rsid w:val="00267FD2"/>
    <w:rsid w:val="0027114F"/>
    <w:rsid w:val="002723A8"/>
    <w:rsid w:val="0028176E"/>
    <w:rsid w:val="00281FFC"/>
    <w:rsid w:val="00286FAD"/>
    <w:rsid w:val="002971D3"/>
    <w:rsid w:val="00297C56"/>
    <w:rsid w:val="002A13DB"/>
    <w:rsid w:val="002A1660"/>
    <w:rsid w:val="002A407C"/>
    <w:rsid w:val="002A54B5"/>
    <w:rsid w:val="002C077B"/>
    <w:rsid w:val="002C1629"/>
    <w:rsid w:val="002C2EC2"/>
    <w:rsid w:val="002C42F8"/>
    <w:rsid w:val="002C6679"/>
    <w:rsid w:val="002D0DFC"/>
    <w:rsid w:val="002D1523"/>
    <w:rsid w:val="002D52BC"/>
    <w:rsid w:val="002E00C4"/>
    <w:rsid w:val="002E1A29"/>
    <w:rsid w:val="002E2CBB"/>
    <w:rsid w:val="002E3133"/>
    <w:rsid w:val="002E31FE"/>
    <w:rsid w:val="002E568C"/>
    <w:rsid w:val="002E69DF"/>
    <w:rsid w:val="002E69E1"/>
    <w:rsid w:val="003015A9"/>
    <w:rsid w:val="00303084"/>
    <w:rsid w:val="00304FD6"/>
    <w:rsid w:val="00310E28"/>
    <w:rsid w:val="00315E08"/>
    <w:rsid w:val="003172E8"/>
    <w:rsid w:val="00320B90"/>
    <w:rsid w:val="00321C0F"/>
    <w:rsid w:val="003233BA"/>
    <w:rsid w:val="00323D85"/>
    <w:rsid w:val="003273EA"/>
    <w:rsid w:val="00332597"/>
    <w:rsid w:val="00334043"/>
    <w:rsid w:val="003344EB"/>
    <w:rsid w:val="0033759F"/>
    <w:rsid w:val="00340F16"/>
    <w:rsid w:val="003527EF"/>
    <w:rsid w:val="00352C2B"/>
    <w:rsid w:val="0035368A"/>
    <w:rsid w:val="00355220"/>
    <w:rsid w:val="003554F1"/>
    <w:rsid w:val="00356ADD"/>
    <w:rsid w:val="00365969"/>
    <w:rsid w:val="0036659E"/>
    <w:rsid w:val="00366A82"/>
    <w:rsid w:val="00367C2B"/>
    <w:rsid w:val="00374125"/>
    <w:rsid w:val="0037548A"/>
    <w:rsid w:val="003767FA"/>
    <w:rsid w:val="0038090F"/>
    <w:rsid w:val="00380B73"/>
    <w:rsid w:val="003823C9"/>
    <w:rsid w:val="00385AD9"/>
    <w:rsid w:val="003918B1"/>
    <w:rsid w:val="00397672"/>
    <w:rsid w:val="003A3C09"/>
    <w:rsid w:val="003A569C"/>
    <w:rsid w:val="003A7D86"/>
    <w:rsid w:val="003B0B51"/>
    <w:rsid w:val="003B4D24"/>
    <w:rsid w:val="003B68C0"/>
    <w:rsid w:val="003B6F54"/>
    <w:rsid w:val="003C462C"/>
    <w:rsid w:val="003D07F6"/>
    <w:rsid w:val="003D1008"/>
    <w:rsid w:val="003D1E71"/>
    <w:rsid w:val="003D22CA"/>
    <w:rsid w:val="003D4AA5"/>
    <w:rsid w:val="003D6BB5"/>
    <w:rsid w:val="003E0E82"/>
    <w:rsid w:val="003E3A84"/>
    <w:rsid w:val="003E3F7E"/>
    <w:rsid w:val="003E4289"/>
    <w:rsid w:val="003E4E46"/>
    <w:rsid w:val="003E673F"/>
    <w:rsid w:val="003F1192"/>
    <w:rsid w:val="003F4EDF"/>
    <w:rsid w:val="003F77E3"/>
    <w:rsid w:val="0040025A"/>
    <w:rsid w:val="004025AE"/>
    <w:rsid w:val="00402E71"/>
    <w:rsid w:val="0040552A"/>
    <w:rsid w:val="0040666B"/>
    <w:rsid w:val="00412AB6"/>
    <w:rsid w:val="00415599"/>
    <w:rsid w:val="00421520"/>
    <w:rsid w:val="004316DF"/>
    <w:rsid w:val="004435E6"/>
    <w:rsid w:val="00445384"/>
    <w:rsid w:val="0044640F"/>
    <w:rsid w:val="00446BBD"/>
    <w:rsid w:val="0045217F"/>
    <w:rsid w:val="004523A1"/>
    <w:rsid w:val="0045346D"/>
    <w:rsid w:val="00457739"/>
    <w:rsid w:val="00463920"/>
    <w:rsid w:val="00464001"/>
    <w:rsid w:val="00465B75"/>
    <w:rsid w:val="004823B3"/>
    <w:rsid w:val="0048497A"/>
    <w:rsid w:val="004856D9"/>
    <w:rsid w:val="004864D5"/>
    <w:rsid w:val="004875D5"/>
    <w:rsid w:val="0049592D"/>
    <w:rsid w:val="004A000C"/>
    <w:rsid w:val="004A049A"/>
    <w:rsid w:val="004A1D55"/>
    <w:rsid w:val="004A5A95"/>
    <w:rsid w:val="004C1C50"/>
    <w:rsid w:val="004C1FF3"/>
    <w:rsid w:val="004D20C9"/>
    <w:rsid w:val="004D2826"/>
    <w:rsid w:val="004D39DE"/>
    <w:rsid w:val="004D7321"/>
    <w:rsid w:val="004E1EAC"/>
    <w:rsid w:val="004E2ABF"/>
    <w:rsid w:val="004E2EA9"/>
    <w:rsid w:val="004F132A"/>
    <w:rsid w:val="004F244A"/>
    <w:rsid w:val="004F263A"/>
    <w:rsid w:val="004F57B0"/>
    <w:rsid w:val="004F7F62"/>
    <w:rsid w:val="00500BB2"/>
    <w:rsid w:val="005023A8"/>
    <w:rsid w:val="00502B7E"/>
    <w:rsid w:val="0050483E"/>
    <w:rsid w:val="00504DE7"/>
    <w:rsid w:val="005058DC"/>
    <w:rsid w:val="00507813"/>
    <w:rsid w:val="00510044"/>
    <w:rsid w:val="0051227C"/>
    <w:rsid w:val="00512D0A"/>
    <w:rsid w:val="005246F1"/>
    <w:rsid w:val="0052751C"/>
    <w:rsid w:val="0053268D"/>
    <w:rsid w:val="00532FE5"/>
    <w:rsid w:val="005361BA"/>
    <w:rsid w:val="005372B2"/>
    <w:rsid w:val="00537DAF"/>
    <w:rsid w:val="00540030"/>
    <w:rsid w:val="0054319C"/>
    <w:rsid w:val="0054343C"/>
    <w:rsid w:val="00545EB6"/>
    <w:rsid w:val="005512CF"/>
    <w:rsid w:val="0055429F"/>
    <w:rsid w:val="005563EC"/>
    <w:rsid w:val="00565F31"/>
    <w:rsid w:val="00566911"/>
    <w:rsid w:val="00570A6E"/>
    <w:rsid w:val="00570B46"/>
    <w:rsid w:val="00573E11"/>
    <w:rsid w:val="0057408F"/>
    <w:rsid w:val="00574C5A"/>
    <w:rsid w:val="00574FE9"/>
    <w:rsid w:val="00575BCE"/>
    <w:rsid w:val="00577164"/>
    <w:rsid w:val="00581649"/>
    <w:rsid w:val="00586EE9"/>
    <w:rsid w:val="00587EFE"/>
    <w:rsid w:val="0059229D"/>
    <w:rsid w:val="00595E92"/>
    <w:rsid w:val="00597365"/>
    <w:rsid w:val="005A40EE"/>
    <w:rsid w:val="005A4582"/>
    <w:rsid w:val="005B4F1F"/>
    <w:rsid w:val="005C2F91"/>
    <w:rsid w:val="005C6ABD"/>
    <w:rsid w:val="005D1A34"/>
    <w:rsid w:val="005D1F5A"/>
    <w:rsid w:val="005D3646"/>
    <w:rsid w:val="005E015D"/>
    <w:rsid w:val="005E07F8"/>
    <w:rsid w:val="005E1E4C"/>
    <w:rsid w:val="005E29CF"/>
    <w:rsid w:val="005E32D2"/>
    <w:rsid w:val="005E3506"/>
    <w:rsid w:val="005F3FF9"/>
    <w:rsid w:val="00602DA6"/>
    <w:rsid w:val="00611D14"/>
    <w:rsid w:val="0061280A"/>
    <w:rsid w:val="00614B7D"/>
    <w:rsid w:val="00615743"/>
    <w:rsid w:val="00621F0D"/>
    <w:rsid w:val="006240EC"/>
    <w:rsid w:val="0062590D"/>
    <w:rsid w:val="0062631F"/>
    <w:rsid w:val="006358E8"/>
    <w:rsid w:val="00636215"/>
    <w:rsid w:val="006423DB"/>
    <w:rsid w:val="006432BF"/>
    <w:rsid w:val="006448C1"/>
    <w:rsid w:val="00645436"/>
    <w:rsid w:val="006454DA"/>
    <w:rsid w:val="00650712"/>
    <w:rsid w:val="006531A5"/>
    <w:rsid w:val="00657631"/>
    <w:rsid w:val="00657FCF"/>
    <w:rsid w:val="006622EE"/>
    <w:rsid w:val="00662929"/>
    <w:rsid w:val="006665B7"/>
    <w:rsid w:val="0067048C"/>
    <w:rsid w:val="006709E4"/>
    <w:rsid w:val="0067497B"/>
    <w:rsid w:val="00676048"/>
    <w:rsid w:val="00680435"/>
    <w:rsid w:val="006817B8"/>
    <w:rsid w:val="00683F27"/>
    <w:rsid w:val="00690B8C"/>
    <w:rsid w:val="00692A27"/>
    <w:rsid w:val="006946D4"/>
    <w:rsid w:val="0069605D"/>
    <w:rsid w:val="0069645E"/>
    <w:rsid w:val="006A253A"/>
    <w:rsid w:val="006A3D99"/>
    <w:rsid w:val="006B0D07"/>
    <w:rsid w:val="006C624A"/>
    <w:rsid w:val="006D0260"/>
    <w:rsid w:val="006D4CC7"/>
    <w:rsid w:val="006E6EAE"/>
    <w:rsid w:val="006F12CF"/>
    <w:rsid w:val="007015A5"/>
    <w:rsid w:val="007039F2"/>
    <w:rsid w:val="0070425A"/>
    <w:rsid w:val="0070669D"/>
    <w:rsid w:val="007137B1"/>
    <w:rsid w:val="00722FAA"/>
    <w:rsid w:val="007230BD"/>
    <w:rsid w:val="00725D44"/>
    <w:rsid w:val="0073670E"/>
    <w:rsid w:val="00736873"/>
    <w:rsid w:val="00746849"/>
    <w:rsid w:val="00747735"/>
    <w:rsid w:val="00751B51"/>
    <w:rsid w:val="0076000A"/>
    <w:rsid w:val="00760330"/>
    <w:rsid w:val="00763D43"/>
    <w:rsid w:val="007708FB"/>
    <w:rsid w:val="007710B8"/>
    <w:rsid w:val="00771C97"/>
    <w:rsid w:val="007722B2"/>
    <w:rsid w:val="00776AE5"/>
    <w:rsid w:val="007835D1"/>
    <w:rsid w:val="007852D1"/>
    <w:rsid w:val="007861FE"/>
    <w:rsid w:val="00791DDC"/>
    <w:rsid w:val="00795832"/>
    <w:rsid w:val="0079611C"/>
    <w:rsid w:val="00797212"/>
    <w:rsid w:val="00797F09"/>
    <w:rsid w:val="007A0F4A"/>
    <w:rsid w:val="007A63CA"/>
    <w:rsid w:val="007B4C44"/>
    <w:rsid w:val="007B6346"/>
    <w:rsid w:val="007C047A"/>
    <w:rsid w:val="007C19E5"/>
    <w:rsid w:val="007E1FEA"/>
    <w:rsid w:val="007E387F"/>
    <w:rsid w:val="007E4A43"/>
    <w:rsid w:val="007F08D3"/>
    <w:rsid w:val="007F0B1E"/>
    <w:rsid w:val="007F1D19"/>
    <w:rsid w:val="007F7CA3"/>
    <w:rsid w:val="00811BA4"/>
    <w:rsid w:val="008151A5"/>
    <w:rsid w:val="00816033"/>
    <w:rsid w:val="00816BB3"/>
    <w:rsid w:val="00817A0B"/>
    <w:rsid w:val="00823216"/>
    <w:rsid w:val="00825356"/>
    <w:rsid w:val="00827155"/>
    <w:rsid w:val="0083708D"/>
    <w:rsid w:val="00837728"/>
    <w:rsid w:val="00837A4E"/>
    <w:rsid w:val="00841498"/>
    <w:rsid w:val="00843F40"/>
    <w:rsid w:val="008536ED"/>
    <w:rsid w:val="008562B1"/>
    <w:rsid w:val="0086240C"/>
    <w:rsid w:val="00866106"/>
    <w:rsid w:val="00866DEA"/>
    <w:rsid w:val="00870103"/>
    <w:rsid w:val="008762CD"/>
    <w:rsid w:val="008776C2"/>
    <w:rsid w:val="00883280"/>
    <w:rsid w:val="008852B2"/>
    <w:rsid w:val="0088594A"/>
    <w:rsid w:val="00895AE9"/>
    <w:rsid w:val="008A3BB7"/>
    <w:rsid w:val="008B49E8"/>
    <w:rsid w:val="008B50CC"/>
    <w:rsid w:val="008B7250"/>
    <w:rsid w:val="008C3825"/>
    <w:rsid w:val="008C7B7D"/>
    <w:rsid w:val="008D2B3F"/>
    <w:rsid w:val="008D514B"/>
    <w:rsid w:val="008E238A"/>
    <w:rsid w:val="008E35FE"/>
    <w:rsid w:val="008F00AC"/>
    <w:rsid w:val="008F0738"/>
    <w:rsid w:val="008F226F"/>
    <w:rsid w:val="008F33AB"/>
    <w:rsid w:val="008F6503"/>
    <w:rsid w:val="00901C2D"/>
    <w:rsid w:val="00901E8B"/>
    <w:rsid w:val="009024D7"/>
    <w:rsid w:val="00902B46"/>
    <w:rsid w:val="00907670"/>
    <w:rsid w:val="00912954"/>
    <w:rsid w:val="00914613"/>
    <w:rsid w:val="00914B2C"/>
    <w:rsid w:val="00920525"/>
    <w:rsid w:val="00921D0E"/>
    <w:rsid w:val="009228B7"/>
    <w:rsid w:val="0092672C"/>
    <w:rsid w:val="00931EB2"/>
    <w:rsid w:val="009333C5"/>
    <w:rsid w:val="009344A8"/>
    <w:rsid w:val="00934BEB"/>
    <w:rsid w:val="00935F75"/>
    <w:rsid w:val="00936069"/>
    <w:rsid w:val="00936926"/>
    <w:rsid w:val="009437DA"/>
    <w:rsid w:val="00945FBE"/>
    <w:rsid w:val="00947408"/>
    <w:rsid w:val="00953435"/>
    <w:rsid w:val="009548DA"/>
    <w:rsid w:val="00960565"/>
    <w:rsid w:val="009606BA"/>
    <w:rsid w:val="00960BBB"/>
    <w:rsid w:val="00961EDD"/>
    <w:rsid w:val="00975062"/>
    <w:rsid w:val="0097605B"/>
    <w:rsid w:val="00991273"/>
    <w:rsid w:val="00993951"/>
    <w:rsid w:val="00995C16"/>
    <w:rsid w:val="009A091D"/>
    <w:rsid w:val="009A2B02"/>
    <w:rsid w:val="009A6675"/>
    <w:rsid w:val="009B2545"/>
    <w:rsid w:val="009B408E"/>
    <w:rsid w:val="009B4DD0"/>
    <w:rsid w:val="009C5F49"/>
    <w:rsid w:val="009D1280"/>
    <w:rsid w:val="009D6F07"/>
    <w:rsid w:val="009D7907"/>
    <w:rsid w:val="009E70E3"/>
    <w:rsid w:val="009E7CC9"/>
    <w:rsid w:val="009F000F"/>
    <w:rsid w:val="009F04E9"/>
    <w:rsid w:val="009F0E52"/>
    <w:rsid w:val="009F31B0"/>
    <w:rsid w:val="009F389E"/>
    <w:rsid w:val="009F743E"/>
    <w:rsid w:val="00A00DAF"/>
    <w:rsid w:val="00A00FFD"/>
    <w:rsid w:val="00A05909"/>
    <w:rsid w:val="00A118E1"/>
    <w:rsid w:val="00A23624"/>
    <w:rsid w:val="00A301B2"/>
    <w:rsid w:val="00A305BE"/>
    <w:rsid w:val="00A35A30"/>
    <w:rsid w:val="00A4079D"/>
    <w:rsid w:val="00A4243A"/>
    <w:rsid w:val="00A44C05"/>
    <w:rsid w:val="00A467A4"/>
    <w:rsid w:val="00A508FC"/>
    <w:rsid w:val="00A538D9"/>
    <w:rsid w:val="00A53EA7"/>
    <w:rsid w:val="00A577A0"/>
    <w:rsid w:val="00A6426E"/>
    <w:rsid w:val="00A65038"/>
    <w:rsid w:val="00A651ED"/>
    <w:rsid w:val="00A674EA"/>
    <w:rsid w:val="00A71C84"/>
    <w:rsid w:val="00A71E75"/>
    <w:rsid w:val="00A75969"/>
    <w:rsid w:val="00A759B6"/>
    <w:rsid w:val="00A77905"/>
    <w:rsid w:val="00A845BA"/>
    <w:rsid w:val="00A90D7C"/>
    <w:rsid w:val="00A95189"/>
    <w:rsid w:val="00A9574C"/>
    <w:rsid w:val="00A9591F"/>
    <w:rsid w:val="00AA4A10"/>
    <w:rsid w:val="00AA5458"/>
    <w:rsid w:val="00AA7065"/>
    <w:rsid w:val="00AB056C"/>
    <w:rsid w:val="00AB110E"/>
    <w:rsid w:val="00AB3BD6"/>
    <w:rsid w:val="00AB4369"/>
    <w:rsid w:val="00AB526A"/>
    <w:rsid w:val="00AB6B42"/>
    <w:rsid w:val="00AB6E92"/>
    <w:rsid w:val="00AB7F80"/>
    <w:rsid w:val="00AC0C69"/>
    <w:rsid w:val="00AC7D75"/>
    <w:rsid w:val="00AD2481"/>
    <w:rsid w:val="00AD3504"/>
    <w:rsid w:val="00AD7043"/>
    <w:rsid w:val="00AE0AD5"/>
    <w:rsid w:val="00AE47CA"/>
    <w:rsid w:val="00AE4B95"/>
    <w:rsid w:val="00AE5712"/>
    <w:rsid w:val="00AE65B2"/>
    <w:rsid w:val="00AF06B1"/>
    <w:rsid w:val="00AF202F"/>
    <w:rsid w:val="00AF29E0"/>
    <w:rsid w:val="00AF3C38"/>
    <w:rsid w:val="00AF4653"/>
    <w:rsid w:val="00AF4CE2"/>
    <w:rsid w:val="00AF614B"/>
    <w:rsid w:val="00AF7B0B"/>
    <w:rsid w:val="00B02287"/>
    <w:rsid w:val="00B022E7"/>
    <w:rsid w:val="00B02D0A"/>
    <w:rsid w:val="00B103B0"/>
    <w:rsid w:val="00B116B3"/>
    <w:rsid w:val="00B14882"/>
    <w:rsid w:val="00B16A31"/>
    <w:rsid w:val="00B24314"/>
    <w:rsid w:val="00B3293A"/>
    <w:rsid w:val="00B3450D"/>
    <w:rsid w:val="00B4048B"/>
    <w:rsid w:val="00B45090"/>
    <w:rsid w:val="00B47772"/>
    <w:rsid w:val="00B53F02"/>
    <w:rsid w:val="00B54A14"/>
    <w:rsid w:val="00B601E2"/>
    <w:rsid w:val="00B60566"/>
    <w:rsid w:val="00B6191D"/>
    <w:rsid w:val="00B635E6"/>
    <w:rsid w:val="00B75FFE"/>
    <w:rsid w:val="00B806BC"/>
    <w:rsid w:val="00B826A4"/>
    <w:rsid w:val="00B86115"/>
    <w:rsid w:val="00B97D75"/>
    <w:rsid w:val="00BA26F9"/>
    <w:rsid w:val="00BA2D17"/>
    <w:rsid w:val="00BA4E25"/>
    <w:rsid w:val="00BA51DD"/>
    <w:rsid w:val="00BA6BBF"/>
    <w:rsid w:val="00BA6BFC"/>
    <w:rsid w:val="00BA7A18"/>
    <w:rsid w:val="00BC556E"/>
    <w:rsid w:val="00BC57D8"/>
    <w:rsid w:val="00BC7B27"/>
    <w:rsid w:val="00BD0721"/>
    <w:rsid w:val="00BD53B1"/>
    <w:rsid w:val="00BD59EB"/>
    <w:rsid w:val="00BF4A4A"/>
    <w:rsid w:val="00BF7C12"/>
    <w:rsid w:val="00BF7D4F"/>
    <w:rsid w:val="00C03DB8"/>
    <w:rsid w:val="00C04A1F"/>
    <w:rsid w:val="00C04BB2"/>
    <w:rsid w:val="00C10852"/>
    <w:rsid w:val="00C10F77"/>
    <w:rsid w:val="00C1447F"/>
    <w:rsid w:val="00C14E43"/>
    <w:rsid w:val="00C177B7"/>
    <w:rsid w:val="00C229B5"/>
    <w:rsid w:val="00C2470D"/>
    <w:rsid w:val="00C2613C"/>
    <w:rsid w:val="00C26C38"/>
    <w:rsid w:val="00C314BA"/>
    <w:rsid w:val="00C32F41"/>
    <w:rsid w:val="00C332EB"/>
    <w:rsid w:val="00C4130C"/>
    <w:rsid w:val="00C45776"/>
    <w:rsid w:val="00C45ACB"/>
    <w:rsid w:val="00C53AF3"/>
    <w:rsid w:val="00C556D3"/>
    <w:rsid w:val="00C55D4A"/>
    <w:rsid w:val="00C603CF"/>
    <w:rsid w:val="00C6251F"/>
    <w:rsid w:val="00C64278"/>
    <w:rsid w:val="00C64C9D"/>
    <w:rsid w:val="00C65702"/>
    <w:rsid w:val="00C66D82"/>
    <w:rsid w:val="00C7088D"/>
    <w:rsid w:val="00C778FC"/>
    <w:rsid w:val="00C81848"/>
    <w:rsid w:val="00C81D94"/>
    <w:rsid w:val="00C82344"/>
    <w:rsid w:val="00C82C00"/>
    <w:rsid w:val="00C82F99"/>
    <w:rsid w:val="00C8545C"/>
    <w:rsid w:val="00C905B5"/>
    <w:rsid w:val="00C9073D"/>
    <w:rsid w:val="00C928E8"/>
    <w:rsid w:val="00C931C1"/>
    <w:rsid w:val="00C93598"/>
    <w:rsid w:val="00C93BDB"/>
    <w:rsid w:val="00CA0D38"/>
    <w:rsid w:val="00CA210B"/>
    <w:rsid w:val="00CA2EDE"/>
    <w:rsid w:val="00CA583E"/>
    <w:rsid w:val="00CA5B71"/>
    <w:rsid w:val="00CB4B4A"/>
    <w:rsid w:val="00CB5795"/>
    <w:rsid w:val="00CB6552"/>
    <w:rsid w:val="00CB6B1C"/>
    <w:rsid w:val="00CC033F"/>
    <w:rsid w:val="00CC23C1"/>
    <w:rsid w:val="00CC3B21"/>
    <w:rsid w:val="00CD277D"/>
    <w:rsid w:val="00CD3B2D"/>
    <w:rsid w:val="00CE217C"/>
    <w:rsid w:val="00CE2F02"/>
    <w:rsid w:val="00CE57A7"/>
    <w:rsid w:val="00CF0151"/>
    <w:rsid w:val="00CF0431"/>
    <w:rsid w:val="00CF7E6E"/>
    <w:rsid w:val="00D001D4"/>
    <w:rsid w:val="00D009DF"/>
    <w:rsid w:val="00D07963"/>
    <w:rsid w:val="00D14EFE"/>
    <w:rsid w:val="00D169F1"/>
    <w:rsid w:val="00D172F2"/>
    <w:rsid w:val="00D17702"/>
    <w:rsid w:val="00D21AAD"/>
    <w:rsid w:val="00D22FC9"/>
    <w:rsid w:val="00D30F65"/>
    <w:rsid w:val="00D36912"/>
    <w:rsid w:val="00D46C8F"/>
    <w:rsid w:val="00D46F58"/>
    <w:rsid w:val="00D47889"/>
    <w:rsid w:val="00D52033"/>
    <w:rsid w:val="00D53AEF"/>
    <w:rsid w:val="00D5560C"/>
    <w:rsid w:val="00D57051"/>
    <w:rsid w:val="00D60789"/>
    <w:rsid w:val="00D6353B"/>
    <w:rsid w:val="00D71A64"/>
    <w:rsid w:val="00D8124B"/>
    <w:rsid w:val="00D964DD"/>
    <w:rsid w:val="00D9781D"/>
    <w:rsid w:val="00DA1B9E"/>
    <w:rsid w:val="00DA3407"/>
    <w:rsid w:val="00DA39CA"/>
    <w:rsid w:val="00DA6E96"/>
    <w:rsid w:val="00DB2A9D"/>
    <w:rsid w:val="00DB7B46"/>
    <w:rsid w:val="00DC4204"/>
    <w:rsid w:val="00DC6DED"/>
    <w:rsid w:val="00DC78E6"/>
    <w:rsid w:val="00DD0C72"/>
    <w:rsid w:val="00DD13ED"/>
    <w:rsid w:val="00DD262A"/>
    <w:rsid w:val="00DD28A0"/>
    <w:rsid w:val="00DE0286"/>
    <w:rsid w:val="00DE0D10"/>
    <w:rsid w:val="00DE1A25"/>
    <w:rsid w:val="00DF17D3"/>
    <w:rsid w:val="00DF4D3C"/>
    <w:rsid w:val="00DF5447"/>
    <w:rsid w:val="00E02012"/>
    <w:rsid w:val="00E0267B"/>
    <w:rsid w:val="00E0291E"/>
    <w:rsid w:val="00E06E2E"/>
    <w:rsid w:val="00E1103F"/>
    <w:rsid w:val="00E23C2B"/>
    <w:rsid w:val="00E36A2A"/>
    <w:rsid w:val="00E423D4"/>
    <w:rsid w:val="00E42D3E"/>
    <w:rsid w:val="00E468CE"/>
    <w:rsid w:val="00E47544"/>
    <w:rsid w:val="00E51445"/>
    <w:rsid w:val="00E56EB3"/>
    <w:rsid w:val="00E5796B"/>
    <w:rsid w:val="00E63322"/>
    <w:rsid w:val="00E647E1"/>
    <w:rsid w:val="00E7125C"/>
    <w:rsid w:val="00E73125"/>
    <w:rsid w:val="00E74530"/>
    <w:rsid w:val="00E74EB0"/>
    <w:rsid w:val="00E760ED"/>
    <w:rsid w:val="00E764FC"/>
    <w:rsid w:val="00E77E81"/>
    <w:rsid w:val="00E80309"/>
    <w:rsid w:val="00E820F4"/>
    <w:rsid w:val="00E86B5E"/>
    <w:rsid w:val="00E95710"/>
    <w:rsid w:val="00E960B9"/>
    <w:rsid w:val="00E97531"/>
    <w:rsid w:val="00EA1285"/>
    <w:rsid w:val="00EA2B4E"/>
    <w:rsid w:val="00EA71D1"/>
    <w:rsid w:val="00EB7319"/>
    <w:rsid w:val="00EC0F35"/>
    <w:rsid w:val="00EC265F"/>
    <w:rsid w:val="00EC40E8"/>
    <w:rsid w:val="00ED0537"/>
    <w:rsid w:val="00ED3660"/>
    <w:rsid w:val="00ED3D53"/>
    <w:rsid w:val="00ED54C8"/>
    <w:rsid w:val="00EE032E"/>
    <w:rsid w:val="00EE1106"/>
    <w:rsid w:val="00EE2E82"/>
    <w:rsid w:val="00EE3408"/>
    <w:rsid w:val="00EF582D"/>
    <w:rsid w:val="00F0068C"/>
    <w:rsid w:val="00F02744"/>
    <w:rsid w:val="00F030D4"/>
    <w:rsid w:val="00F03850"/>
    <w:rsid w:val="00F051A6"/>
    <w:rsid w:val="00F07C67"/>
    <w:rsid w:val="00F07E45"/>
    <w:rsid w:val="00F10E8C"/>
    <w:rsid w:val="00F12FC2"/>
    <w:rsid w:val="00F14A39"/>
    <w:rsid w:val="00F17645"/>
    <w:rsid w:val="00F25F0A"/>
    <w:rsid w:val="00F3722B"/>
    <w:rsid w:val="00F44648"/>
    <w:rsid w:val="00F47664"/>
    <w:rsid w:val="00F50F12"/>
    <w:rsid w:val="00F51958"/>
    <w:rsid w:val="00F53F1B"/>
    <w:rsid w:val="00F5547C"/>
    <w:rsid w:val="00F55812"/>
    <w:rsid w:val="00F6612D"/>
    <w:rsid w:val="00F738CF"/>
    <w:rsid w:val="00F758BF"/>
    <w:rsid w:val="00F80267"/>
    <w:rsid w:val="00F8053E"/>
    <w:rsid w:val="00F81A61"/>
    <w:rsid w:val="00F83DB8"/>
    <w:rsid w:val="00F8551F"/>
    <w:rsid w:val="00F87026"/>
    <w:rsid w:val="00F879A9"/>
    <w:rsid w:val="00F916A5"/>
    <w:rsid w:val="00F9315E"/>
    <w:rsid w:val="00FA3E49"/>
    <w:rsid w:val="00FA53A4"/>
    <w:rsid w:val="00FB1ACE"/>
    <w:rsid w:val="00FB1C08"/>
    <w:rsid w:val="00FB210A"/>
    <w:rsid w:val="00FB4FF0"/>
    <w:rsid w:val="00FB5883"/>
    <w:rsid w:val="00FB7B61"/>
    <w:rsid w:val="00FC5991"/>
    <w:rsid w:val="00FD133B"/>
    <w:rsid w:val="00FD1818"/>
    <w:rsid w:val="00FD1FF3"/>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9E1"/>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11</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Craig Booth</cp:lastModifiedBy>
  <cp:revision>27</cp:revision>
  <cp:lastPrinted>2020-01-23T16:12:00Z</cp:lastPrinted>
  <dcterms:created xsi:type="dcterms:W3CDTF">2022-08-23T13:51:00Z</dcterms:created>
  <dcterms:modified xsi:type="dcterms:W3CDTF">2022-10-07T07:41:00Z</dcterms:modified>
</cp:coreProperties>
</file>